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DFF" w:rsidRDefault="00E43DFF"/>
    <w:p w:rsidR="003712BE" w:rsidRDefault="003712BE"/>
    <w:p w:rsidR="004E708A" w:rsidRDefault="00E43DFF" w:rsidP="004E708A">
      <w:pPr>
        <w:pStyle w:val="Prrafodelista"/>
        <w:numPr>
          <w:ilvl w:val="0"/>
          <w:numId w:val="3"/>
        </w:numPr>
        <w:rPr>
          <w:u w:val="single"/>
        </w:rPr>
      </w:pPr>
      <w:r w:rsidRPr="004E708A">
        <w:rPr>
          <w:u w:val="single"/>
        </w:rPr>
        <w:t>NOTAS DE DESGLOSE</w:t>
      </w:r>
      <w:r w:rsidR="004E708A">
        <w:rPr>
          <w:u w:val="single"/>
        </w:rPr>
        <w:t xml:space="preserve"> </w:t>
      </w:r>
    </w:p>
    <w:p w:rsidR="00E43DFF" w:rsidRDefault="004E708A" w:rsidP="00735A18">
      <w:pPr>
        <w:pStyle w:val="Prrafodelista"/>
        <w:numPr>
          <w:ilvl w:val="0"/>
          <w:numId w:val="3"/>
        </w:numPr>
      </w:pPr>
      <w:r w:rsidRPr="004E708A">
        <w:t>INFORMACION</w:t>
      </w:r>
      <w:r>
        <w:t xml:space="preserve"> CONTABLE</w:t>
      </w:r>
    </w:p>
    <w:p w:rsidR="004E708A" w:rsidRDefault="004E708A" w:rsidP="004E708A">
      <w:pPr>
        <w:pStyle w:val="Prrafodelista"/>
        <w:ind w:left="1004"/>
      </w:pPr>
    </w:p>
    <w:p w:rsidR="004E708A" w:rsidRDefault="004E708A" w:rsidP="004E708A">
      <w:pPr>
        <w:pStyle w:val="Prrafodelista"/>
        <w:numPr>
          <w:ilvl w:val="0"/>
          <w:numId w:val="4"/>
        </w:numPr>
      </w:pPr>
      <w:r>
        <w:t>NOTAS AL ESTADO DE SITUACION FINANCIERA</w:t>
      </w:r>
    </w:p>
    <w:p w:rsidR="003B760D" w:rsidRDefault="004E708A" w:rsidP="004E708A">
      <w:r>
        <w:t>NOTA 1. EFECTIVO Y EQUIVALENTES DE EFECTIVO.</w:t>
      </w:r>
    </w:p>
    <w:p w:rsidR="004E708A" w:rsidRDefault="003B760D" w:rsidP="004E708A">
      <w:r>
        <w:t xml:space="preserve">Al </w:t>
      </w:r>
      <w:r w:rsidR="00A5388E">
        <w:t>IV</w:t>
      </w:r>
      <w:r w:rsidR="002B3348">
        <w:t>TRIMESTRE 2017</w:t>
      </w:r>
      <w:r w:rsidR="00A5388E">
        <w:t xml:space="preserve"> Y </w:t>
      </w:r>
      <w:r w:rsidR="002B3348">
        <w:t>I</w:t>
      </w:r>
      <w:r w:rsidR="00A5388E">
        <w:t>I TRIMESTRE 2017</w:t>
      </w:r>
      <w:r w:rsidR="004E708A">
        <w:t xml:space="preserve"> integra como sigue:</w:t>
      </w:r>
    </w:p>
    <w:tbl>
      <w:tblPr>
        <w:tblW w:w="7000" w:type="dxa"/>
        <w:tblInd w:w="-5" w:type="dxa"/>
        <w:tblCellMar>
          <w:left w:w="70" w:type="dxa"/>
          <w:right w:w="70" w:type="dxa"/>
        </w:tblCellMar>
        <w:tblLook w:val="04A0" w:firstRow="1" w:lastRow="0" w:firstColumn="1" w:lastColumn="0" w:noHBand="0" w:noVBand="1"/>
      </w:tblPr>
      <w:tblGrid>
        <w:gridCol w:w="1200"/>
        <w:gridCol w:w="2440"/>
        <w:gridCol w:w="911"/>
        <w:gridCol w:w="2400"/>
        <w:gridCol w:w="911"/>
      </w:tblGrid>
      <w:tr w:rsidR="001D2781" w:rsidRPr="001D2781" w:rsidTr="001D2781">
        <w:trPr>
          <w:trHeight w:val="300"/>
        </w:trPr>
        <w:tc>
          <w:tcPr>
            <w:tcW w:w="12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Concepto</w:t>
            </w:r>
          </w:p>
        </w:tc>
        <w:tc>
          <w:tcPr>
            <w:tcW w:w="2920" w:type="dxa"/>
            <w:gridSpan w:val="2"/>
            <w:tcBorders>
              <w:top w:val="single" w:sz="4" w:space="0" w:color="auto"/>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jun-17</w:t>
            </w:r>
          </w:p>
        </w:tc>
        <w:tc>
          <w:tcPr>
            <w:tcW w:w="2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mar-17</w:t>
            </w:r>
          </w:p>
        </w:tc>
      </w:tr>
      <w:tr w:rsidR="001D2781" w:rsidRPr="001D2781" w:rsidTr="001D2781">
        <w:trPr>
          <w:trHeight w:val="300"/>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1D2781" w:rsidRPr="001D2781" w:rsidRDefault="001D2781" w:rsidP="001D2781">
            <w:pPr>
              <w:spacing w:after="0" w:line="240" w:lineRule="auto"/>
              <w:rPr>
                <w:rFonts w:ascii="Calibri" w:eastAsia="Times New Roman" w:hAnsi="Calibri" w:cs="Calibri"/>
                <w:color w:val="000000"/>
                <w:lang w:eastAsia="es-MX"/>
              </w:rPr>
            </w:pPr>
          </w:p>
        </w:tc>
        <w:tc>
          <w:tcPr>
            <w:tcW w:w="244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IMPORTE</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w:t>
            </w:r>
          </w:p>
        </w:tc>
        <w:tc>
          <w:tcPr>
            <w:tcW w:w="240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IMPORTE</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w:t>
            </w:r>
          </w:p>
        </w:tc>
      </w:tr>
      <w:tr w:rsidR="001D2781" w:rsidRPr="001D2781" w:rsidTr="001D278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Fondo fijo de caja</w:t>
            </w:r>
          </w:p>
        </w:tc>
        <w:tc>
          <w:tcPr>
            <w:tcW w:w="2440" w:type="dxa"/>
            <w:tcBorders>
              <w:top w:val="nil"/>
              <w:left w:val="nil"/>
              <w:bottom w:val="single" w:sz="4" w:space="0" w:color="auto"/>
              <w:right w:val="single" w:sz="4" w:space="0" w:color="auto"/>
            </w:tcBorders>
            <w:shd w:val="clear" w:color="000000" w:fill="FFFFFF"/>
            <w:noWrap/>
            <w:vAlign w:val="center"/>
            <w:hideMark/>
          </w:tcPr>
          <w:p w:rsidR="001D2781" w:rsidRPr="001D2781" w:rsidRDefault="001D2781" w:rsidP="001D2781">
            <w:pPr>
              <w:spacing w:after="0" w:line="240" w:lineRule="auto"/>
              <w:jc w:val="right"/>
              <w:rPr>
                <w:rFonts w:ascii="Arial" w:eastAsia="Times New Roman" w:hAnsi="Arial" w:cs="Arial"/>
                <w:b/>
                <w:bCs/>
                <w:color w:val="000000"/>
                <w:sz w:val="16"/>
                <w:szCs w:val="16"/>
                <w:lang w:eastAsia="es-MX"/>
              </w:rPr>
            </w:pPr>
            <w:r w:rsidRPr="001D2781">
              <w:rPr>
                <w:rFonts w:ascii="Arial" w:eastAsia="Times New Roman" w:hAnsi="Arial" w:cs="Arial"/>
                <w:b/>
                <w:bCs/>
                <w:color w:val="000000"/>
                <w:sz w:val="16"/>
                <w:szCs w:val="16"/>
                <w:lang w:eastAsia="es-MX"/>
              </w:rPr>
              <w:t>11,450.00</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0.89%</w:t>
            </w:r>
          </w:p>
        </w:tc>
        <w:tc>
          <w:tcPr>
            <w:tcW w:w="2400" w:type="dxa"/>
            <w:tcBorders>
              <w:top w:val="nil"/>
              <w:left w:val="nil"/>
              <w:bottom w:val="single" w:sz="4" w:space="0" w:color="auto"/>
              <w:right w:val="single" w:sz="4" w:space="0" w:color="auto"/>
            </w:tcBorders>
            <w:shd w:val="clear" w:color="000000" w:fill="FFFFFF"/>
            <w:noWrap/>
            <w:vAlign w:val="center"/>
            <w:hideMark/>
          </w:tcPr>
          <w:p w:rsidR="001D2781" w:rsidRPr="001D2781" w:rsidRDefault="001D2781" w:rsidP="001D2781">
            <w:pPr>
              <w:spacing w:after="0" w:line="240" w:lineRule="auto"/>
              <w:jc w:val="right"/>
              <w:rPr>
                <w:rFonts w:ascii="Arial" w:eastAsia="Times New Roman" w:hAnsi="Arial" w:cs="Arial"/>
                <w:b/>
                <w:bCs/>
                <w:color w:val="000000"/>
                <w:sz w:val="16"/>
                <w:szCs w:val="16"/>
                <w:lang w:eastAsia="es-MX"/>
              </w:rPr>
            </w:pPr>
            <w:r w:rsidRPr="001D2781">
              <w:rPr>
                <w:rFonts w:ascii="Arial" w:eastAsia="Times New Roman" w:hAnsi="Arial" w:cs="Arial"/>
                <w:b/>
                <w:bCs/>
                <w:color w:val="000000"/>
                <w:sz w:val="16"/>
                <w:szCs w:val="16"/>
                <w:lang w:eastAsia="es-MX"/>
              </w:rPr>
              <w:t>11,450.00</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0.69%</w:t>
            </w:r>
          </w:p>
        </w:tc>
      </w:tr>
      <w:tr w:rsidR="001D2781" w:rsidRPr="001D2781" w:rsidTr="001D278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Caja</w:t>
            </w:r>
          </w:p>
        </w:tc>
        <w:tc>
          <w:tcPr>
            <w:tcW w:w="2440" w:type="dxa"/>
            <w:tcBorders>
              <w:top w:val="nil"/>
              <w:left w:val="nil"/>
              <w:bottom w:val="single" w:sz="4" w:space="0" w:color="auto"/>
              <w:right w:val="single" w:sz="4" w:space="0" w:color="auto"/>
            </w:tcBorders>
            <w:shd w:val="clear" w:color="000000" w:fill="FFFFFF"/>
            <w:noWrap/>
            <w:vAlign w:val="center"/>
            <w:hideMark/>
          </w:tcPr>
          <w:p w:rsidR="001D2781" w:rsidRPr="001D2781" w:rsidRDefault="001D2781" w:rsidP="001D2781">
            <w:pPr>
              <w:spacing w:after="0" w:line="240" w:lineRule="auto"/>
              <w:jc w:val="right"/>
              <w:rPr>
                <w:rFonts w:ascii="Arial" w:eastAsia="Times New Roman" w:hAnsi="Arial" w:cs="Arial"/>
                <w:b/>
                <w:bCs/>
                <w:color w:val="000000"/>
                <w:sz w:val="16"/>
                <w:szCs w:val="16"/>
                <w:lang w:eastAsia="es-MX"/>
              </w:rPr>
            </w:pPr>
            <w:r w:rsidRPr="001D2781">
              <w:rPr>
                <w:rFonts w:ascii="Arial" w:eastAsia="Times New Roman" w:hAnsi="Arial" w:cs="Arial"/>
                <w:b/>
                <w:bCs/>
                <w:color w:val="000000"/>
                <w:sz w:val="16"/>
                <w:szCs w:val="16"/>
                <w:lang w:eastAsia="es-MX"/>
              </w:rPr>
              <w:t>161,078.10</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12.49%</w:t>
            </w:r>
          </w:p>
        </w:tc>
        <w:tc>
          <w:tcPr>
            <w:tcW w:w="2400" w:type="dxa"/>
            <w:tcBorders>
              <w:top w:val="nil"/>
              <w:left w:val="nil"/>
              <w:bottom w:val="single" w:sz="4" w:space="0" w:color="auto"/>
              <w:right w:val="single" w:sz="4" w:space="0" w:color="auto"/>
            </w:tcBorders>
            <w:shd w:val="clear" w:color="000000" w:fill="FFFFFF"/>
            <w:noWrap/>
            <w:vAlign w:val="center"/>
            <w:hideMark/>
          </w:tcPr>
          <w:p w:rsidR="001D2781" w:rsidRPr="001D2781" w:rsidRDefault="001D2781" w:rsidP="001D2781">
            <w:pPr>
              <w:spacing w:after="0" w:line="240" w:lineRule="auto"/>
              <w:jc w:val="right"/>
              <w:rPr>
                <w:rFonts w:ascii="Arial" w:eastAsia="Times New Roman" w:hAnsi="Arial" w:cs="Arial"/>
                <w:b/>
                <w:bCs/>
                <w:color w:val="000000"/>
                <w:sz w:val="16"/>
                <w:szCs w:val="16"/>
                <w:lang w:eastAsia="es-MX"/>
              </w:rPr>
            </w:pPr>
            <w:r w:rsidRPr="001D2781">
              <w:rPr>
                <w:rFonts w:ascii="Arial" w:eastAsia="Times New Roman" w:hAnsi="Arial" w:cs="Arial"/>
                <w:b/>
                <w:bCs/>
                <w:color w:val="000000"/>
                <w:sz w:val="16"/>
                <w:szCs w:val="16"/>
                <w:lang w:eastAsia="es-MX"/>
              </w:rPr>
              <w:t>138,909.11</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8.34%</w:t>
            </w:r>
          </w:p>
        </w:tc>
      </w:tr>
      <w:tr w:rsidR="001D2781" w:rsidRPr="001D2781" w:rsidTr="001D278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Bancos</w:t>
            </w:r>
          </w:p>
        </w:tc>
        <w:tc>
          <w:tcPr>
            <w:tcW w:w="2440" w:type="dxa"/>
            <w:tcBorders>
              <w:top w:val="nil"/>
              <w:left w:val="nil"/>
              <w:bottom w:val="single" w:sz="4" w:space="0" w:color="auto"/>
              <w:right w:val="single" w:sz="4" w:space="0" w:color="auto"/>
            </w:tcBorders>
            <w:shd w:val="clear" w:color="000000" w:fill="FFFFFF"/>
            <w:noWrap/>
            <w:vAlign w:val="center"/>
            <w:hideMark/>
          </w:tcPr>
          <w:p w:rsidR="001D2781" w:rsidRPr="001D2781" w:rsidRDefault="001D2781" w:rsidP="001D2781">
            <w:pPr>
              <w:spacing w:after="0" w:line="240" w:lineRule="auto"/>
              <w:jc w:val="right"/>
              <w:rPr>
                <w:rFonts w:ascii="Arial" w:eastAsia="Times New Roman" w:hAnsi="Arial" w:cs="Arial"/>
                <w:b/>
                <w:bCs/>
                <w:color w:val="000000"/>
                <w:sz w:val="16"/>
                <w:szCs w:val="16"/>
                <w:lang w:eastAsia="es-MX"/>
              </w:rPr>
            </w:pPr>
            <w:r w:rsidRPr="001D2781">
              <w:rPr>
                <w:rFonts w:ascii="Arial" w:eastAsia="Times New Roman" w:hAnsi="Arial" w:cs="Arial"/>
                <w:b/>
                <w:bCs/>
                <w:color w:val="000000"/>
                <w:sz w:val="16"/>
                <w:szCs w:val="16"/>
                <w:lang w:eastAsia="es-MX"/>
              </w:rPr>
              <w:t>817,253.59</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63.37%</w:t>
            </w:r>
          </w:p>
        </w:tc>
        <w:tc>
          <w:tcPr>
            <w:tcW w:w="2400" w:type="dxa"/>
            <w:tcBorders>
              <w:top w:val="nil"/>
              <w:left w:val="nil"/>
              <w:bottom w:val="single" w:sz="4" w:space="0" w:color="auto"/>
              <w:right w:val="single" w:sz="4" w:space="0" w:color="auto"/>
            </w:tcBorders>
            <w:shd w:val="clear" w:color="000000" w:fill="FFFFFF"/>
            <w:noWrap/>
            <w:vAlign w:val="center"/>
            <w:hideMark/>
          </w:tcPr>
          <w:p w:rsidR="001D2781" w:rsidRPr="001D2781" w:rsidRDefault="001D2781" w:rsidP="001D2781">
            <w:pPr>
              <w:spacing w:after="0" w:line="240" w:lineRule="auto"/>
              <w:jc w:val="right"/>
              <w:rPr>
                <w:rFonts w:ascii="Arial" w:eastAsia="Times New Roman" w:hAnsi="Arial" w:cs="Arial"/>
                <w:b/>
                <w:bCs/>
                <w:color w:val="000000"/>
                <w:sz w:val="16"/>
                <w:szCs w:val="16"/>
                <w:lang w:eastAsia="es-MX"/>
              </w:rPr>
            </w:pPr>
            <w:r w:rsidRPr="001D2781">
              <w:rPr>
                <w:rFonts w:ascii="Arial" w:eastAsia="Times New Roman" w:hAnsi="Arial" w:cs="Arial"/>
                <w:b/>
                <w:bCs/>
                <w:color w:val="000000"/>
                <w:sz w:val="16"/>
                <w:szCs w:val="16"/>
                <w:lang w:eastAsia="es-MX"/>
              </w:rPr>
              <w:t>720,543.30</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43.25%</w:t>
            </w:r>
          </w:p>
        </w:tc>
      </w:tr>
      <w:tr w:rsidR="001D2781" w:rsidRPr="001D2781" w:rsidTr="001D278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 </w:t>
            </w:r>
          </w:p>
        </w:tc>
        <w:tc>
          <w:tcPr>
            <w:tcW w:w="244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sz w:val="16"/>
                <w:szCs w:val="16"/>
                <w:lang w:eastAsia="es-MX"/>
              </w:rPr>
            </w:pPr>
            <w:r w:rsidRPr="001D2781">
              <w:rPr>
                <w:rFonts w:ascii="Calibri" w:eastAsia="Times New Roman" w:hAnsi="Calibri" w:cs="Calibri"/>
                <w:color w:val="000000"/>
                <w:sz w:val="16"/>
                <w:szCs w:val="16"/>
                <w:lang w:eastAsia="es-MX"/>
              </w:rPr>
              <w:t> </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 </w:t>
            </w:r>
          </w:p>
        </w:tc>
        <w:tc>
          <w:tcPr>
            <w:tcW w:w="240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sz w:val="16"/>
                <w:szCs w:val="16"/>
                <w:lang w:eastAsia="es-MX"/>
              </w:rPr>
            </w:pPr>
            <w:r w:rsidRPr="001D2781">
              <w:rPr>
                <w:rFonts w:ascii="Calibri" w:eastAsia="Times New Roman" w:hAnsi="Calibri" w:cs="Calibri"/>
                <w:color w:val="000000"/>
                <w:sz w:val="16"/>
                <w:szCs w:val="16"/>
                <w:lang w:eastAsia="es-MX"/>
              </w:rPr>
              <w:t> </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 </w:t>
            </w:r>
          </w:p>
        </w:tc>
      </w:tr>
      <w:tr w:rsidR="001D2781" w:rsidRPr="001D2781" w:rsidTr="001D278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inversiones disponibles a la vista</w:t>
            </w:r>
          </w:p>
        </w:tc>
        <w:tc>
          <w:tcPr>
            <w:tcW w:w="2440" w:type="dxa"/>
            <w:tcBorders>
              <w:top w:val="nil"/>
              <w:left w:val="nil"/>
              <w:bottom w:val="single" w:sz="4" w:space="0" w:color="auto"/>
              <w:right w:val="single" w:sz="4" w:space="0" w:color="auto"/>
            </w:tcBorders>
            <w:shd w:val="clear" w:color="000000" w:fill="FFFFFF"/>
            <w:noWrap/>
            <w:hideMark/>
          </w:tcPr>
          <w:p w:rsidR="001D2781" w:rsidRPr="001D2781" w:rsidRDefault="001D2781" w:rsidP="001D2781">
            <w:pPr>
              <w:spacing w:after="0" w:line="240" w:lineRule="auto"/>
              <w:jc w:val="right"/>
              <w:rPr>
                <w:rFonts w:ascii="Arial" w:eastAsia="Times New Roman" w:hAnsi="Arial" w:cs="Arial"/>
                <w:b/>
                <w:bCs/>
                <w:color w:val="000000"/>
                <w:sz w:val="16"/>
                <w:szCs w:val="16"/>
                <w:lang w:eastAsia="es-MX"/>
              </w:rPr>
            </w:pPr>
            <w:r w:rsidRPr="001D2781">
              <w:rPr>
                <w:rFonts w:ascii="Arial" w:eastAsia="Times New Roman" w:hAnsi="Arial" w:cs="Arial"/>
                <w:b/>
                <w:bCs/>
                <w:color w:val="000000"/>
                <w:sz w:val="16"/>
                <w:szCs w:val="16"/>
                <w:lang w:eastAsia="es-MX"/>
              </w:rPr>
              <w:t>299,962.81</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23.26%</w:t>
            </w:r>
          </w:p>
        </w:tc>
        <w:tc>
          <w:tcPr>
            <w:tcW w:w="2400" w:type="dxa"/>
            <w:tcBorders>
              <w:top w:val="nil"/>
              <w:left w:val="nil"/>
              <w:bottom w:val="single" w:sz="4" w:space="0" w:color="auto"/>
              <w:right w:val="single" w:sz="4" w:space="0" w:color="auto"/>
            </w:tcBorders>
            <w:shd w:val="clear" w:color="000000" w:fill="FFFFFF"/>
            <w:noWrap/>
            <w:vAlign w:val="center"/>
            <w:hideMark/>
          </w:tcPr>
          <w:p w:rsidR="001D2781" w:rsidRPr="001D2781" w:rsidRDefault="001D2781" w:rsidP="001D2781">
            <w:pPr>
              <w:spacing w:after="0" w:line="240" w:lineRule="auto"/>
              <w:jc w:val="right"/>
              <w:rPr>
                <w:rFonts w:ascii="Arial" w:eastAsia="Times New Roman" w:hAnsi="Arial" w:cs="Arial"/>
                <w:b/>
                <w:bCs/>
                <w:color w:val="000000"/>
                <w:sz w:val="16"/>
                <w:szCs w:val="16"/>
                <w:lang w:eastAsia="es-MX"/>
              </w:rPr>
            </w:pPr>
            <w:r w:rsidRPr="001D2781">
              <w:rPr>
                <w:rFonts w:ascii="Arial" w:eastAsia="Times New Roman" w:hAnsi="Arial" w:cs="Arial"/>
                <w:b/>
                <w:bCs/>
                <w:color w:val="000000"/>
                <w:sz w:val="16"/>
                <w:szCs w:val="16"/>
                <w:lang w:eastAsia="es-MX"/>
              </w:rPr>
              <w:t>794,922.41</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47.72%</w:t>
            </w:r>
          </w:p>
        </w:tc>
      </w:tr>
      <w:tr w:rsidR="001D2781" w:rsidRPr="001D2781" w:rsidTr="001D278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 </w:t>
            </w:r>
          </w:p>
        </w:tc>
        <w:tc>
          <w:tcPr>
            <w:tcW w:w="244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 </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 </w:t>
            </w:r>
          </w:p>
        </w:tc>
        <w:tc>
          <w:tcPr>
            <w:tcW w:w="240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 </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 </w:t>
            </w:r>
          </w:p>
        </w:tc>
      </w:tr>
      <w:tr w:rsidR="001D2781" w:rsidRPr="001D2781" w:rsidTr="001D278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 </w:t>
            </w:r>
          </w:p>
        </w:tc>
        <w:tc>
          <w:tcPr>
            <w:tcW w:w="244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 </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 </w:t>
            </w:r>
          </w:p>
        </w:tc>
        <w:tc>
          <w:tcPr>
            <w:tcW w:w="240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 </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 </w:t>
            </w:r>
          </w:p>
        </w:tc>
      </w:tr>
      <w:tr w:rsidR="001D2781" w:rsidRPr="001D2781" w:rsidTr="001D278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rPr>
                <w:rFonts w:ascii="Calibri" w:eastAsia="Times New Roman" w:hAnsi="Calibri" w:cs="Calibri"/>
                <w:color w:val="000000"/>
                <w:lang w:eastAsia="es-MX"/>
              </w:rPr>
            </w:pPr>
            <w:r w:rsidRPr="001D2781">
              <w:rPr>
                <w:rFonts w:ascii="Calibri" w:eastAsia="Times New Roman" w:hAnsi="Calibri" w:cs="Calibri"/>
                <w:color w:val="000000"/>
                <w:lang w:eastAsia="es-MX"/>
              </w:rPr>
              <w:t>T O T A L</w:t>
            </w:r>
          </w:p>
        </w:tc>
        <w:tc>
          <w:tcPr>
            <w:tcW w:w="244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right"/>
              <w:rPr>
                <w:rFonts w:ascii="Calibri" w:eastAsia="Times New Roman" w:hAnsi="Calibri" w:cs="Calibri"/>
                <w:color w:val="000000"/>
                <w:lang w:eastAsia="es-MX"/>
              </w:rPr>
            </w:pPr>
            <w:r w:rsidRPr="001D2781">
              <w:rPr>
                <w:rFonts w:ascii="Calibri" w:eastAsia="Times New Roman" w:hAnsi="Calibri" w:cs="Calibri"/>
                <w:color w:val="000000"/>
                <w:lang w:eastAsia="es-MX"/>
              </w:rPr>
              <w:t>1,289,744.50</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100.00%</w:t>
            </w:r>
          </w:p>
        </w:tc>
        <w:tc>
          <w:tcPr>
            <w:tcW w:w="240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right"/>
              <w:rPr>
                <w:rFonts w:ascii="Calibri" w:eastAsia="Times New Roman" w:hAnsi="Calibri" w:cs="Calibri"/>
                <w:color w:val="000000"/>
                <w:lang w:eastAsia="es-MX"/>
              </w:rPr>
            </w:pPr>
            <w:r w:rsidRPr="001D2781">
              <w:rPr>
                <w:rFonts w:ascii="Calibri" w:eastAsia="Times New Roman" w:hAnsi="Calibri" w:cs="Calibri"/>
                <w:color w:val="000000"/>
                <w:lang w:eastAsia="es-MX"/>
              </w:rPr>
              <w:t>1,665,824.82</w:t>
            </w:r>
          </w:p>
        </w:tc>
        <w:tc>
          <w:tcPr>
            <w:tcW w:w="480" w:type="dxa"/>
            <w:tcBorders>
              <w:top w:val="nil"/>
              <w:left w:val="nil"/>
              <w:bottom w:val="single" w:sz="4" w:space="0" w:color="auto"/>
              <w:right w:val="single" w:sz="4" w:space="0" w:color="auto"/>
            </w:tcBorders>
            <w:shd w:val="clear" w:color="auto" w:fill="auto"/>
            <w:noWrap/>
            <w:vAlign w:val="center"/>
            <w:hideMark/>
          </w:tcPr>
          <w:p w:rsidR="001D2781" w:rsidRPr="001D2781" w:rsidRDefault="001D2781" w:rsidP="001D2781">
            <w:pPr>
              <w:spacing w:after="0" w:line="240" w:lineRule="auto"/>
              <w:jc w:val="center"/>
              <w:rPr>
                <w:rFonts w:ascii="Calibri" w:eastAsia="Times New Roman" w:hAnsi="Calibri" w:cs="Calibri"/>
                <w:color w:val="000000"/>
                <w:lang w:eastAsia="es-MX"/>
              </w:rPr>
            </w:pPr>
            <w:r w:rsidRPr="001D2781">
              <w:rPr>
                <w:rFonts w:ascii="Calibri" w:eastAsia="Times New Roman" w:hAnsi="Calibri" w:cs="Calibri"/>
                <w:color w:val="000000"/>
                <w:lang w:eastAsia="es-MX"/>
              </w:rPr>
              <w:t>100.00%</w:t>
            </w:r>
          </w:p>
        </w:tc>
      </w:tr>
    </w:tbl>
    <w:p w:rsidR="0034684E" w:rsidRDefault="006A2D0A" w:rsidP="00377C0D">
      <w:r>
        <w:fldChar w:fldCharType="begin"/>
      </w:r>
      <w:r>
        <w:instrText xml:space="preserve"> LINK </w:instrText>
      </w:r>
      <w:r w:rsidR="00A5388E">
        <w:instrText xml:space="preserve">Excel.Sheet.12 Libro1 Hoja1!F1C1:F9C5 </w:instrText>
      </w:r>
      <w:r>
        <w:instrText xml:space="preserve">\a \f 4 \h </w:instrText>
      </w:r>
      <w:r>
        <w:fldChar w:fldCharType="separate"/>
      </w:r>
    </w:p>
    <w:p w:rsidR="005B5B39" w:rsidRDefault="006A2D0A" w:rsidP="00377C0D">
      <w:r>
        <w:fldChar w:fldCharType="end"/>
      </w:r>
      <w:r w:rsidR="0015435E">
        <w:t>El saldo de fondos fijo de caja y caja representa los recursos de ef</w:t>
      </w:r>
      <w:r w:rsidR="00F91484">
        <w:t>ectivo de disposición inmediata, destinados a cubrir gastos menores propios de la operación de la entidad, mientras que en caja se registra todo el efectivo que ingresa por cobros de los servicios principalmente de agua y drenaje, también se tienen dos fondos para ser utilizados para cambio en las cajas.</w:t>
      </w:r>
    </w:p>
    <w:p w:rsidR="00F91484" w:rsidRDefault="00F91484" w:rsidP="00855DFC">
      <w:pPr>
        <w:jc w:val="both"/>
      </w:pPr>
      <w:r>
        <w:t>La cuenta de Bancos representa el efectivo de disposición inmediata a través de cuentas de cheques, propiedad del organismo para cubrir sus compromisos financieros.</w:t>
      </w:r>
    </w:p>
    <w:p w:rsidR="00F91484" w:rsidRDefault="00F91484" w:rsidP="00855DFC">
      <w:pPr>
        <w:jc w:val="both"/>
      </w:pPr>
      <w:r>
        <w:t xml:space="preserve">Este rubro está integrado por </w:t>
      </w:r>
      <w:r w:rsidR="001D2781">
        <w:t>4</w:t>
      </w:r>
      <w:r>
        <w:t xml:space="preserve"> cuentas bancarias de la dirección general</w:t>
      </w:r>
      <w:r w:rsidR="003E673B">
        <w:t xml:space="preserve"> </w:t>
      </w:r>
      <w:r>
        <w:t>(Oomapas Caborca) y una de la comisaria Plutarco Elias Calles (“Y” griega)</w:t>
      </w:r>
      <w:r w:rsidR="003E673B">
        <w:t>.</w:t>
      </w:r>
    </w:p>
    <w:p w:rsidR="003E673B" w:rsidRDefault="003E673B" w:rsidP="00855DFC">
      <w:pPr>
        <w:jc w:val="both"/>
      </w:pPr>
      <w:r>
        <w:t xml:space="preserve">Inversiones disponibles a la vista se usan para invertir los excedentes temporales de efectivo en caja y bancos y representa los valores cuya disposición se prevé de forma inmediata, generan rendimientos y tienen riesgos de poca importancia, </w:t>
      </w:r>
      <w:r w:rsidR="00C464D7">
        <w:t xml:space="preserve"> AL </w:t>
      </w:r>
      <w:r w:rsidR="00EF2C21">
        <w:t>3</w:t>
      </w:r>
      <w:r w:rsidR="001D2781">
        <w:t>0</w:t>
      </w:r>
      <w:r w:rsidR="00C464D7">
        <w:t xml:space="preserve"> DE </w:t>
      </w:r>
      <w:r w:rsidR="001D2781">
        <w:t>Jumio</w:t>
      </w:r>
      <w:r w:rsidR="00A5388E">
        <w:t xml:space="preserve"> se encuentra activa con $ </w:t>
      </w:r>
      <w:r w:rsidR="001D2781">
        <w:t>299,962.81</w:t>
      </w:r>
      <w:r w:rsidR="00BB3607">
        <w:t xml:space="preserve"> </w:t>
      </w:r>
    </w:p>
    <w:p w:rsidR="00BF79AF" w:rsidRDefault="00BF79AF" w:rsidP="00E43DFF"/>
    <w:p w:rsidR="009C242D" w:rsidRDefault="009C242D" w:rsidP="00E43DFF"/>
    <w:p w:rsidR="009C242D" w:rsidRDefault="009C242D" w:rsidP="00E43DFF"/>
    <w:p w:rsidR="009C242D" w:rsidRDefault="009C242D" w:rsidP="00E43DFF"/>
    <w:p w:rsidR="003E673B" w:rsidRDefault="003E673B" w:rsidP="00E43DFF">
      <w:r>
        <w:t>NOTA 2. DERECHOS A RECIBIR EFECTIVO Y EQUIVALENTES.</w:t>
      </w:r>
    </w:p>
    <w:p w:rsidR="003E673B" w:rsidRDefault="003E673B" w:rsidP="00855DFC">
      <w:pPr>
        <w:jc w:val="both"/>
      </w:pPr>
      <w:r>
        <w:t>Al 3</w:t>
      </w:r>
      <w:r w:rsidR="001D2781">
        <w:t>0</w:t>
      </w:r>
      <w:r>
        <w:t xml:space="preserve"> de </w:t>
      </w:r>
      <w:r w:rsidR="001D2781">
        <w:t>Junio</w:t>
      </w:r>
      <w:r w:rsidR="00AE3428">
        <w:t xml:space="preserve"> del 201</w:t>
      </w:r>
      <w:r w:rsidR="00A5388E">
        <w:t>7</w:t>
      </w:r>
      <w:r>
        <w:t xml:space="preserve"> el saldo por un importe de $</w:t>
      </w:r>
      <w:r w:rsidR="001D2781" w:rsidRPr="001D2781">
        <w:rPr>
          <w:rFonts w:ascii="Arial" w:eastAsia="Times New Roman" w:hAnsi="Arial" w:cs="Arial"/>
          <w:color w:val="000000"/>
          <w:sz w:val="16"/>
          <w:szCs w:val="16"/>
          <w:lang w:eastAsia="es-MX"/>
        </w:rPr>
        <w:t>33,086,039.04</w:t>
      </w:r>
      <w:r w:rsidR="001D2781">
        <w:rPr>
          <w:rFonts w:ascii="Arial" w:eastAsia="Times New Roman" w:hAnsi="Arial" w:cs="Arial"/>
          <w:color w:val="000000"/>
          <w:sz w:val="16"/>
          <w:szCs w:val="16"/>
          <w:lang w:eastAsia="es-MX"/>
        </w:rPr>
        <w:t xml:space="preserve"> </w:t>
      </w:r>
      <w:r>
        <w:t>corresponden a los Deudores por servicios de Agua Potable, Alcantarillado y Servicios de conexión de acuerdo a la política mencionada en la nota 17.i</w:t>
      </w:r>
    </w:p>
    <w:p w:rsidR="00BF79AF" w:rsidRDefault="002C2200" w:rsidP="00855DFC">
      <w:pPr>
        <w:jc w:val="both"/>
      </w:pPr>
      <w:r>
        <w:t>Este importe se compone de :</w:t>
      </w:r>
    </w:p>
    <w:p w:rsidR="00506DFF" w:rsidRDefault="00506DFF" w:rsidP="00855DFC">
      <w:pPr>
        <w:jc w:val="both"/>
      </w:pPr>
      <w:r>
        <w:t xml:space="preserve">DEUDORES CON 2 MESES DE ATRASO .53% $ </w:t>
      </w:r>
      <w:r w:rsidR="001D2781">
        <w:t>175,356.00</w:t>
      </w:r>
    </w:p>
    <w:p w:rsidR="001D2781" w:rsidRDefault="00506DFF" w:rsidP="00855DFC">
      <w:pPr>
        <w:jc w:val="both"/>
      </w:pPr>
      <w:r>
        <w:t>DEUDORES CON 6 MESES DE ATRASO 3.03% $</w:t>
      </w:r>
      <w:r w:rsidR="001D2781">
        <w:t>1,002,506.98</w:t>
      </w:r>
    </w:p>
    <w:p w:rsidR="00506DFF" w:rsidRDefault="001D2781" w:rsidP="00855DFC">
      <w:pPr>
        <w:jc w:val="both"/>
      </w:pPr>
      <w:r>
        <w:t>D</w:t>
      </w:r>
      <w:r w:rsidR="00506DFF">
        <w:t xml:space="preserve">EUDORES CON 1 AÑO DE ATRASO 13.02% $ </w:t>
      </w:r>
      <w:r>
        <w:t>4,307,802.28</w:t>
      </w:r>
    </w:p>
    <w:p w:rsidR="00506DFF" w:rsidRDefault="00506DFF" w:rsidP="00855DFC">
      <w:pPr>
        <w:jc w:val="both"/>
      </w:pPr>
      <w:r>
        <w:t xml:space="preserve">DEUDORES HASTA 5 AÑOS DE ATRASO 72.77% </w:t>
      </w:r>
      <w:r w:rsidR="001D2781">
        <w:t>24,0</w:t>
      </w:r>
      <w:r w:rsidR="00FE61D0">
        <w:t>7</w:t>
      </w:r>
      <w:r w:rsidR="001D2781">
        <w:t>6,</w:t>
      </w:r>
      <w:r w:rsidR="00FE61D0">
        <w:t>7</w:t>
      </w:r>
      <w:r w:rsidR="001D2781">
        <w:t>10.60</w:t>
      </w:r>
    </w:p>
    <w:p w:rsidR="00506DFF" w:rsidRDefault="00506DFF" w:rsidP="00855DFC">
      <w:pPr>
        <w:jc w:val="both"/>
      </w:pPr>
      <w:r>
        <w:t xml:space="preserve">DEUDORES CON MAS DE 5 AÑOS DE ATRASO 10.65% $ </w:t>
      </w:r>
      <w:r w:rsidR="00FE61D0">
        <w:t>3,523,663.15</w:t>
      </w:r>
    </w:p>
    <w:p w:rsidR="003E673B" w:rsidRDefault="003E673B" w:rsidP="00855DFC">
      <w:pPr>
        <w:jc w:val="both"/>
      </w:pPr>
      <w:r>
        <w:t xml:space="preserve">En el </w:t>
      </w:r>
      <w:r w:rsidR="0098125B">
        <w:t xml:space="preserve">periodo </w:t>
      </w:r>
      <w:r w:rsidR="00346ED9">
        <w:t xml:space="preserve">del  </w:t>
      </w:r>
      <w:r w:rsidR="00FE61D0">
        <w:t>I trimestre 2017</w:t>
      </w:r>
      <w:r>
        <w:t xml:space="preserve">  </w:t>
      </w:r>
      <w:r w:rsidR="00BB17B8">
        <w:t xml:space="preserve">Y </w:t>
      </w:r>
      <w:r w:rsidR="00FE61D0">
        <w:t>I</w:t>
      </w:r>
      <w:r w:rsidR="00BB17B8">
        <w:t xml:space="preserve">I trim 2017 </w:t>
      </w:r>
      <w:r>
        <w:t xml:space="preserve">se tuvo aproximadamente el  </w:t>
      </w:r>
      <w:r w:rsidR="0098125B">
        <w:t>58</w:t>
      </w:r>
      <w:r>
        <w:t xml:space="preserve">% </w:t>
      </w:r>
      <w:r w:rsidR="00B83943">
        <w:t xml:space="preserve">y 55% respectivamente </w:t>
      </w:r>
      <w:r>
        <w:t>de eficiencia en el cobro del total facturado</w:t>
      </w:r>
      <w:r w:rsidR="006552C2">
        <w:t xml:space="preserve"> por los servicios de agua y drenaje</w:t>
      </w:r>
      <w:r w:rsidR="00B83943">
        <w:t>.</w:t>
      </w:r>
    </w:p>
    <w:p w:rsidR="006552C2" w:rsidRDefault="006552C2" w:rsidP="00855DFC">
      <w:pPr>
        <w:jc w:val="both"/>
      </w:pPr>
    </w:p>
    <w:p w:rsidR="006552C2" w:rsidRDefault="006552C2" w:rsidP="00855DFC">
      <w:pPr>
        <w:jc w:val="both"/>
      </w:pPr>
      <w:r w:rsidRPr="00555E60">
        <w:t>Nota 3. OTROS DERECHOS A RECIBIR A CORTO PLAZO.</w:t>
      </w:r>
    </w:p>
    <w:p w:rsidR="002A2359" w:rsidRDefault="00BF79AF" w:rsidP="00855DFC">
      <w:pPr>
        <w:jc w:val="both"/>
      </w:pPr>
      <w:r>
        <w:t>Al 3</w:t>
      </w:r>
      <w:r w:rsidR="00B83943">
        <w:t>1</w:t>
      </w:r>
      <w:r>
        <w:t xml:space="preserve"> de </w:t>
      </w:r>
      <w:r w:rsidR="002A2359">
        <w:t>Marzo 2017</w:t>
      </w:r>
      <w:r>
        <w:t xml:space="preserve"> y 3</w:t>
      </w:r>
      <w:r w:rsidR="002A2359">
        <w:t>0</w:t>
      </w:r>
      <w:r>
        <w:t xml:space="preserve"> de </w:t>
      </w:r>
      <w:r w:rsidR="002A2359">
        <w:t>Junio</w:t>
      </w:r>
      <w:r>
        <w:t xml:space="preserve"> 201</w:t>
      </w:r>
      <w:r w:rsidR="00B83943">
        <w:t>7</w:t>
      </w:r>
      <w:r>
        <w:t xml:space="preserve"> se integra como sigue:</w:t>
      </w:r>
    </w:p>
    <w:tbl>
      <w:tblPr>
        <w:tblW w:w="8600" w:type="dxa"/>
        <w:tblInd w:w="-10" w:type="dxa"/>
        <w:tblCellMar>
          <w:left w:w="70" w:type="dxa"/>
          <w:right w:w="70" w:type="dxa"/>
        </w:tblCellMar>
        <w:tblLook w:val="04A0" w:firstRow="1" w:lastRow="0" w:firstColumn="1" w:lastColumn="0" w:noHBand="0" w:noVBand="1"/>
      </w:tblPr>
      <w:tblGrid>
        <w:gridCol w:w="2720"/>
        <w:gridCol w:w="2176"/>
        <w:gridCol w:w="911"/>
        <w:gridCol w:w="2106"/>
        <w:gridCol w:w="911"/>
      </w:tblGrid>
      <w:tr w:rsidR="002A2359" w:rsidRPr="002A2359" w:rsidTr="002A2359">
        <w:trPr>
          <w:trHeight w:val="270"/>
        </w:trPr>
        <w:tc>
          <w:tcPr>
            <w:tcW w:w="27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Concepto</w:t>
            </w:r>
          </w:p>
        </w:tc>
        <w:tc>
          <w:tcPr>
            <w:tcW w:w="297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2A2359" w:rsidRPr="002A2359" w:rsidRDefault="002A2359" w:rsidP="002A2359">
            <w:pPr>
              <w:spacing w:after="0" w:line="240" w:lineRule="auto"/>
              <w:jc w:val="center"/>
              <w:rPr>
                <w:rFonts w:ascii="Calibri" w:eastAsia="Times New Roman" w:hAnsi="Calibri" w:cs="Calibri"/>
                <w:color w:val="000000"/>
                <w:lang w:eastAsia="es-MX"/>
              </w:rPr>
            </w:pPr>
            <w:r w:rsidRPr="002A2359">
              <w:rPr>
                <w:rFonts w:ascii="Calibri" w:eastAsia="Times New Roman" w:hAnsi="Calibri" w:cs="Calibri"/>
                <w:color w:val="000000"/>
                <w:lang w:eastAsia="es-MX"/>
              </w:rPr>
              <w:t>II TRIMESTRE 2017</w:t>
            </w:r>
          </w:p>
        </w:tc>
        <w:tc>
          <w:tcPr>
            <w:tcW w:w="290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2A2359" w:rsidRPr="002A2359" w:rsidRDefault="002A2359" w:rsidP="002A2359">
            <w:pPr>
              <w:spacing w:after="0" w:line="240" w:lineRule="auto"/>
              <w:jc w:val="center"/>
              <w:rPr>
                <w:rFonts w:ascii="Calibri" w:eastAsia="Times New Roman" w:hAnsi="Calibri" w:cs="Calibri"/>
                <w:color w:val="000000"/>
                <w:lang w:eastAsia="es-MX"/>
              </w:rPr>
            </w:pPr>
            <w:r w:rsidRPr="002A2359">
              <w:rPr>
                <w:rFonts w:ascii="Calibri" w:eastAsia="Times New Roman" w:hAnsi="Calibri" w:cs="Calibri"/>
                <w:color w:val="000000"/>
                <w:lang w:eastAsia="es-MX"/>
              </w:rPr>
              <w:t>I TRIMESTRE 2017</w:t>
            </w:r>
          </w:p>
        </w:tc>
      </w:tr>
      <w:tr w:rsidR="002A2359" w:rsidRPr="002A2359" w:rsidTr="002A2359">
        <w:trPr>
          <w:trHeight w:val="270"/>
        </w:trPr>
        <w:tc>
          <w:tcPr>
            <w:tcW w:w="2720" w:type="dxa"/>
            <w:vMerge/>
            <w:tcBorders>
              <w:top w:val="single" w:sz="8" w:space="0" w:color="auto"/>
              <w:left w:val="single" w:sz="8" w:space="0" w:color="auto"/>
              <w:bottom w:val="single" w:sz="8" w:space="0" w:color="000000"/>
              <w:right w:val="single" w:sz="8" w:space="0" w:color="auto"/>
            </w:tcBorders>
            <w:vAlign w:val="center"/>
            <w:hideMark/>
          </w:tcPr>
          <w:p w:rsidR="002A2359" w:rsidRPr="002A2359" w:rsidRDefault="002A2359" w:rsidP="002A2359">
            <w:pPr>
              <w:spacing w:after="0" w:line="240" w:lineRule="auto"/>
              <w:rPr>
                <w:rFonts w:ascii="Calibri" w:eastAsia="Times New Roman" w:hAnsi="Calibri" w:cs="Calibri"/>
                <w:color w:val="000000"/>
                <w:lang w:eastAsia="es-MX"/>
              </w:rPr>
            </w:pPr>
          </w:p>
        </w:tc>
        <w:tc>
          <w:tcPr>
            <w:tcW w:w="217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Importe</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w:t>
            </w:r>
          </w:p>
        </w:tc>
        <w:tc>
          <w:tcPr>
            <w:tcW w:w="210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Importe</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w:t>
            </w:r>
          </w:p>
        </w:tc>
      </w:tr>
      <w:tr w:rsidR="002A2359" w:rsidRPr="002A2359" w:rsidTr="002A2359">
        <w:trPr>
          <w:trHeight w:val="270"/>
        </w:trPr>
        <w:tc>
          <w:tcPr>
            <w:tcW w:w="2720" w:type="dxa"/>
            <w:tcBorders>
              <w:top w:val="nil"/>
              <w:left w:val="single" w:sz="8" w:space="0" w:color="auto"/>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cheque devueltos</w:t>
            </w:r>
          </w:p>
        </w:tc>
        <w:tc>
          <w:tcPr>
            <w:tcW w:w="217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0</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0.00%</w:t>
            </w:r>
          </w:p>
        </w:tc>
        <w:tc>
          <w:tcPr>
            <w:tcW w:w="210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0</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0.00%</w:t>
            </w:r>
          </w:p>
        </w:tc>
      </w:tr>
      <w:tr w:rsidR="002A2359" w:rsidRPr="002A2359" w:rsidTr="002A2359">
        <w:trPr>
          <w:trHeight w:val="270"/>
        </w:trPr>
        <w:tc>
          <w:tcPr>
            <w:tcW w:w="2720" w:type="dxa"/>
            <w:tcBorders>
              <w:top w:val="nil"/>
              <w:left w:val="single" w:sz="8" w:space="0" w:color="auto"/>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Documentos por cobrar</w:t>
            </w:r>
          </w:p>
        </w:tc>
        <w:tc>
          <w:tcPr>
            <w:tcW w:w="217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6,060.46</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0.07%</w:t>
            </w:r>
          </w:p>
        </w:tc>
        <w:tc>
          <w:tcPr>
            <w:tcW w:w="210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6,060.46</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0.07%</w:t>
            </w:r>
          </w:p>
        </w:tc>
      </w:tr>
      <w:tr w:rsidR="002A2359" w:rsidRPr="002A2359" w:rsidTr="002A2359">
        <w:trPr>
          <w:trHeight w:val="270"/>
        </w:trPr>
        <w:tc>
          <w:tcPr>
            <w:tcW w:w="2720" w:type="dxa"/>
            <w:tcBorders>
              <w:top w:val="nil"/>
              <w:left w:val="single" w:sz="8" w:space="0" w:color="auto"/>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Iva por acreditar</w:t>
            </w:r>
          </w:p>
        </w:tc>
        <w:tc>
          <w:tcPr>
            <w:tcW w:w="217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7,629,676.07</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88.22%</w:t>
            </w:r>
          </w:p>
        </w:tc>
        <w:tc>
          <w:tcPr>
            <w:tcW w:w="210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7,335,053.73</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87.46%</w:t>
            </w:r>
          </w:p>
        </w:tc>
      </w:tr>
      <w:tr w:rsidR="002A2359" w:rsidRPr="002A2359" w:rsidTr="002A2359">
        <w:trPr>
          <w:trHeight w:val="270"/>
        </w:trPr>
        <w:tc>
          <w:tcPr>
            <w:tcW w:w="2720" w:type="dxa"/>
            <w:tcBorders>
              <w:top w:val="nil"/>
              <w:left w:val="single" w:sz="8" w:space="0" w:color="auto"/>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Cuentas por cobrar Oomapas Y</w:t>
            </w:r>
          </w:p>
        </w:tc>
        <w:tc>
          <w:tcPr>
            <w:tcW w:w="217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347,724.64</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4.02%</w:t>
            </w:r>
          </w:p>
        </w:tc>
        <w:tc>
          <w:tcPr>
            <w:tcW w:w="210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280,037.81</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3.34%</w:t>
            </w:r>
          </w:p>
        </w:tc>
      </w:tr>
      <w:tr w:rsidR="002A2359" w:rsidRPr="002A2359" w:rsidTr="002A2359">
        <w:trPr>
          <w:trHeight w:val="270"/>
        </w:trPr>
        <w:tc>
          <w:tcPr>
            <w:tcW w:w="2720" w:type="dxa"/>
            <w:tcBorders>
              <w:top w:val="nil"/>
              <w:left w:val="single" w:sz="8" w:space="0" w:color="auto"/>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Funcionarios y Empleados</w:t>
            </w:r>
          </w:p>
        </w:tc>
        <w:tc>
          <w:tcPr>
            <w:tcW w:w="217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501,237.81</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5.80%</w:t>
            </w:r>
          </w:p>
        </w:tc>
        <w:tc>
          <w:tcPr>
            <w:tcW w:w="210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601,410.80</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7.17%</w:t>
            </w:r>
          </w:p>
        </w:tc>
      </w:tr>
      <w:tr w:rsidR="002A2359" w:rsidRPr="002A2359" w:rsidTr="002A2359">
        <w:trPr>
          <w:trHeight w:val="270"/>
        </w:trPr>
        <w:tc>
          <w:tcPr>
            <w:tcW w:w="2720" w:type="dxa"/>
            <w:tcBorders>
              <w:top w:val="nil"/>
              <w:left w:val="single" w:sz="8" w:space="0" w:color="auto"/>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Valores en Garantia</w:t>
            </w:r>
          </w:p>
        </w:tc>
        <w:tc>
          <w:tcPr>
            <w:tcW w:w="217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164,081.15</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1.90%</w:t>
            </w:r>
          </w:p>
        </w:tc>
        <w:tc>
          <w:tcPr>
            <w:tcW w:w="210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164,081.15</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1.96%</w:t>
            </w:r>
          </w:p>
        </w:tc>
      </w:tr>
      <w:tr w:rsidR="002A2359" w:rsidRPr="002A2359" w:rsidTr="002A2359">
        <w:trPr>
          <w:trHeight w:val="270"/>
        </w:trPr>
        <w:tc>
          <w:tcPr>
            <w:tcW w:w="2720" w:type="dxa"/>
            <w:tcBorders>
              <w:top w:val="nil"/>
              <w:left w:val="single" w:sz="8" w:space="0" w:color="auto"/>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 </w:t>
            </w:r>
          </w:p>
        </w:tc>
        <w:tc>
          <w:tcPr>
            <w:tcW w:w="217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w:t>
            </w:r>
          </w:p>
        </w:tc>
        <w:tc>
          <w:tcPr>
            <w:tcW w:w="210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w:t>
            </w:r>
          </w:p>
        </w:tc>
      </w:tr>
      <w:tr w:rsidR="002A2359" w:rsidRPr="002A2359" w:rsidTr="002A2359">
        <w:trPr>
          <w:trHeight w:val="270"/>
        </w:trPr>
        <w:tc>
          <w:tcPr>
            <w:tcW w:w="2720" w:type="dxa"/>
            <w:tcBorders>
              <w:top w:val="nil"/>
              <w:left w:val="single" w:sz="8" w:space="0" w:color="auto"/>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rPr>
                <w:rFonts w:ascii="Calibri" w:eastAsia="Times New Roman" w:hAnsi="Calibri" w:cs="Calibri"/>
                <w:color w:val="000000"/>
                <w:lang w:eastAsia="es-MX"/>
              </w:rPr>
            </w:pPr>
            <w:r w:rsidRPr="002A2359">
              <w:rPr>
                <w:rFonts w:ascii="Calibri" w:eastAsia="Times New Roman" w:hAnsi="Calibri" w:cs="Calibri"/>
                <w:color w:val="000000"/>
                <w:lang w:eastAsia="es-MX"/>
              </w:rPr>
              <w:t>Total</w:t>
            </w:r>
          </w:p>
        </w:tc>
        <w:tc>
          <w:tcPr>
            <w:tcW w:w="217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8,648,780.13</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100.00%</w:t>
            </w:r>
          </w:p>
        </w:tc>
        <w:tc>
          <w:tcPr>
            <w:tcW w:w="2106"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8,386,643.95</w:t>
            </w:r>
          </w:p>
        </w:tc>
        <w:tc>
          <w:tcPr>
            <w:tcW w:w="799" w:type="dxa"/>
            <w:tcBorders>
              <w:top w:val="nil"/>
              <w:left w:val="nil"/>
              <w:bottom w:val="single" w:sz="8" w:space="0" w:color="auto"/>
              <w:right w:val="single" w:sz="8" w:space="0" w:color="auto"/>
            </w:tcBorders>
            <w:shd w:val="clear" w:color="auto" w:fill="auto"/>
            <w:noWrap/>
            <w:vAlign w:val="center"/>
            <w:hideMark/>
          </w:tcPr>
          <w:p w:rsidR="002A2359" w:rsidRPr="002A2359" w:rsidRDefault="002A2359" w:rsidP="002A2359">
            <w:pPr>
              <w:spacing w:after="0" w:line="240" w:lineRule="auto"/>
              <w:jc w:val="right"/>
              <w:rPr>
                <w:rFonts w:ascii="Calibri" w:eastAsia="Times New Roman" w:hAnsi="Calibri" w:cs="Calibri"/>
                <w:color w:val="000000"/>
                <w:lang w:eastAsia="es-MX"/>
              </w:rPr>
            </w:pPr>
            <w:r w:rsidRPr="002A2359">
              <w:rPr>
                <w:rFonts w:ascii="Calibri" w:eastAsia="Times New Roman" w:hAnsi="Calibri" w:cs="Calibri"/>
                <w:color w:val="000000"/>
                <w:lang w:eastAsia="es-MX"/>
              </w:rPr>
              <w:t>100.00%</w:t>
            </w:r>
          </w:p>
        </w:tc>
      </w:tr>
    </w:tbl>
    <w:p w:rsidR="00BF79AF" w:rsidRDefault="00BF79AF" w:rsidP="00855DFC">
      <w:pPr>
        <w:jc w:val="both"/>
      </w:pPr>
    </w:p>
    <w:p w:rsidR="002A2359" w:rsidRDefault="002A2359" w:rsidP="00855DFC">
      <w:pPr>
        <w:jc w:val="both"/>
      </w:pPr>
    </w:p>
    <w:p w:rsidR="006552C2" w:rsidRDefault="006552C2" w:rsidP="00855DFC">
      <w:pPr>
        <w:jc w:val="both"/>
      </w:pPr>
    </w:p>
    <w:p w:rsidR="009C242D" w:rsidRDefault="009C242D" w:rsidP="00E43DFF"/>
    <w:p w:rsidR="009C242D" w:rsidRDefault="009C242D" w:rsidP="00E43DFF"/>
    <w:p w:rsidR="009C242D" w:rsidRDefault="009C242D" w:rsidP="00E43DFF"/>
    <w:p w:rsidR="00C82E6A" w:rsidRDefault="00C82E6A" w:rsidP="00E43DFF">
      <w:r>
        <w:fldChar w:fldCharType="begin"/>
      </w:r>
      <w:r>
        <w:instrText xml:space="preserve"> LINK </w:instrText>
      </w:r>
      <w:r w:rsidR="009C242D">
        <w:instrText xml:space="preserve">Excel.Sheet.12 Libro1 Hoja1!F16C1:F25C5 </w:instrText>
      </w:r>
      <w:r>
        <w:instrText xml:space="preserve">\a \f 4 \h </w:instrText>
      </w:r>
      <w:r>
        <w:fldChar w:fldCharType="separate"/>
      </w:r>
    </w:p>
    <w:p w:rsidR="00490C32" w:rsidRDefault="00C82E6A" w:rsidP="00BF79AF">
      <w:r>
        <w:fldChar w:fldCharType="end"/>
      </w:r>
      <w:r w:rsidR="00490C32">
        <w:t>NOTA 4. ALMACEN.</w:t>
      </w:r>
    </w:p>
    <w:p w:rsidR="00BD48A3" w:rsidRDefault="00490C32" w:rsidP="00506DFF">
      <w:pPr>
        <w:jc w:val="both"/>
      </w:pPr>
      <w:r>
        <w:t>Al 3</w:t>
      </w:r>
      <w:r w:rsidR="002A2359">
        <w:t>0</w:t>
      </w:r>
      <w:r>
        <w:t xml:space="preserve"> de </w:t>
      </w:r>
      <w:r w:rsidR="002A2359">
        <w:t>Junio</w:t>
      </w:r>
      <w:r>
        <w:t xml:space="preserve"> 201</w:t>
      </w:r>
      <w:r w:rsidR="008B5DE3">
        <w:t>7</w:t>
      </w:r>
      <w:r w:rsidR="009931D8">
        <w:t>,</w:t>
      </w:r>
      <w:r>
        <w:t xml:space="preserve"> el saldo de almacén</w:t>
      </w:r>
      <w:r w:rsidR="0098125B">
        <w:t xml:space="preserve"> $</w:t>
      </w:r>
      <w:r w:rsidR="002A2359" w:rsidRPr="002A2359">
        <w:rPr>
          <w:rFonts w:ascii="Arial" w:eastAsia="Times New Roman" w:hAnsi="Arial" w:cs="Arial"/>
          <w:b/>
          <w:bCs/>
          <w:color w:val="000000"/>
          <w:sz w:val="16"/>
          <w:szCs w:val="16"/>
          <w:lang w:eastAsia="es-MX"/>
        </w:rPr>
        <w:t>1,083,816.78</w:t>
      </w:r>
      <w:r w:rsidR="002A2359">
        <w:rPr>
          <w:rFonts w:ascii="Arial" w:eastAsia="Times New Roman" w:hAnsi="Arial" w:cs="Arial"/>
          <w:b/>
          <w:bCs/>
          <w:color w:val="000000"/>
          <w:sz w:val="16"/>
          <w:szCs w:val="16"/>
          <w:lang w:eastAsia="es-MX"/>
        </w:rPr>
        <w:t xml:space="preserve"> </w:t>
      </w:r>
      <w:r>
        <w:t xml:space="preserve"> se integra principalmente por las existencias de materiales y suministros utilizados para los mantenimientos y conservación de los activos fijos como son los pozos, casetas, líneas de conducción y red de distribución de agua y drenaje.</w:t>
      </w:r>
    </w:p>
    <w:p w:rsidR="00490C32" w:rsidRDefault="00490C32" w:rsidP="00855DFC">
      <w:pPr>
        <w:jc w:val="both"/>
      </w:pPr>
      <w:r>
        <w:t>NOTA 5.- PROPIEDADES, MAQUINARIA Y EQUIPO.</w:t>
      </w:r>
    </w:p>
    <w:p w:rsidR="00490C32" w:rsidRDefault="00490C32" w:rsidP="00855DFC">
      <w:pPr>
        <w:pStyle w:val="Prrafodelista"/>
        <w:numPr>
          <w:ilvl w:val="0"/>
          <w:numId w:val="5"/>
        </w:numPr>
        <w:jc w:val="both"/>
      </w:pPr>
      <w:r>
        <w:t xml:space="preserve">Al </w:t>
      </w:r>
      <w:r w:rsidR="00ED7F96">
        <w:t>3</w:t>
      </w:r>
      <w:r w:rsidR="00C36EBE">
        <w:t>1</w:t>
      </w:r>
      <w:r w:rsidR="00ED7F96">
        <w:t xml:space="preserve"> de </w:t>
      </w:r>
      <w:r w:rsidR="008B5DE3">
        <w:t>Marzo</w:t>
      </w:r>
      <w:r w:rsidR="002A2359">
        <w:t xml:space="preserve"> 2017</w:t>
      </w:r>
      <w:r w:rsidR="00ED7F96">
        <w:t xml:space="preserve"> y </w:t>
      </w:r>
      <w:r>
        <w:t>3</w:t>
      </w:r>
      <w:r w:rsidR="002A2359">
        <w:t>0</w:t>
      </w:r>
      <w:r>
        <w:t xml:space="preserve"> de </w:t>
      </w:r>
      <w:r w:rsidR="002A2359">
        <w:t>Junio</w:t>
      </w:r>
      <w:r>
        <w:t xml:space="preserve"> 201</w:t>
      </w:r>
      <w:r w:rsidR="008B5DE3">
        <w:t>7</w:t>
      </w:r>
      <w:r>
        <w:t>, el costo de adquisición h</w:t>
      </w:r>
      <w:r w:rsidR="008B5DE3">
        <w:t xml:space="preserve">istórica se integra como sigue </w:t>
      </w:r>
    </w:p>
    <w:tbl>
      <w:tblPr>
        <w:tblW w:w="10298" w:type="dxa"/>
        <w:tblInd w:w="-577" w:type="dxa"/>
        <w:tblCellMar>
          <w:left w:w="70" w:type="dxa"/>
          <w:right w:w="70" w:type="dxa"/>
        </w:tblCellMar>
        <w:tblLook w:val="04A0" w:firstRow="1" w:lastRow="0" w:firstColumn="1" w:lastColumn="0" w:noHBand="0" w:noVBand="1"/>
      </w:tblPr>
      <w:tblGrid>
        <w:gridCol w:w="3221"/>
        <w:gridCol w:w="2448"/>
        <w:gridCol w:w="1236"/>
        <w:gridCol w:w="2157"/>
        <w:gridCol w:w="1236"/>
      </w:tblGrid>
      <w:tr w:rsidR="003053E6" w:rsidRPr="003053E6" w:rsidTr="003053E6">
        <w:trPr>
          <w:trHeight w:val="269"/>
        </w:trPr>
        <w:tc>
          <w:tcPr>
            <w:tcW w:w="3221" w:type="dxa"/>
            <w:vMerge w:val="restart"/>
            <w:tcBorders>
              <w:top w:val="single" w:sz="8" w:space="0" w:color="auto"/>
              <w:left w:val="single" w:sz="8" w:space="0" w:color="auto"/>
              <w:bottom w:val="nil"/>
              <w:right w:val="single" w:sz="8" w:space="0" w:color="auto"/>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 xml:space="preserve">Concepto </w:t>
            </w:r>
          </w:p>
        </w:tc>
        <w:tc>
          <w:tcPr>
            <w:tcW w:w="3684" w:type="dxa"/>
            <w:gridSpan w:val="2"/>
            <w:tcBorders>
              <w:top w:val="single" w:sz="8" w:space="0" w:color="auto"/>
              <w:left w:val="nil"/>
              <w:bottom w:val="single" w:sz="8" w:space="0" w:color="auto"/>
              <w:right w:val="single" w:sz="8" w:space="0" w:color="000000"/>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II TRIMESTRE 2017</w:t>
            </w:r>
          </w:p>
        </w:tc>
        <w:tc>
          <w:tcPr>
            <w:tcW w:w="3393" w:type="dxa"/>
            <w:gridSpan w:val="2"/>
            <w:tcBorders>
              <w:top w:val="single" w:sz="8" w:space="0" w:color="auto"/>
              <w:left w:val="nil"/>
              <w:bottom w:val="single" w:sz="8" w:space="0" w:color="auto"/>
              <w:right w:val="single" w:sz="8" w:space="0" w:color="000000"/>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I TRIMESTRE 2017</w:t>
            </w:r>
          </w:p>
        </w:tc>
      </w:tr>
      <w:tr w:rsidR="003053E6" w:rsidRPr="003053E6" w:rsidTr="003053E6">
        <w:trPr>
          <w:trHeight w:val="269"/>
        </w:trPr>
        <w:tc>
          <w:tcPr>
            <w:tcW w:w="3221" w:type="dxa"/>
            <w:vMerge/>
            <w:tcBorders>
              <w:top w:val="single" w:sz="8" w:space="0" w:color="auto"/>
              <w:left w:val="single" w:sz="8" w:space="0" w:color="auto"/>
              <w:bottom w:val="nil"/>
              <w:right w:val="single" w:sz="8" w:space="0" w:color="auto"/>
            </w:tcBorders>
            <w:vAlign w:val="center"/>
            <w:hideMark/>
          </w:tcPr>
          <w:p w:rsidR="003053E6" w:rsidRPr="003053E6" w:rsidRDefault="003053E6" w:rsidP="003053E6">
            <w:pPr>
              <w:spacing w:after="0" w:line="240" w:lineRule="auto"/>
              <w:rPr>
                <w:rFonts w:ascii="Calibri" w:eastAsia="Times New Roman" w:hAnsi="Calibri" w:cs="Calibri"/>
                <w:color w:val="000000"/>
                <w:lang w:eastAsia="es-MX"/>
              </w:rPr>
            </w:pPr>
          </w:p>
        </w:tc>
        <w:tc>
          <w:tcPr>
            <w:tcW w:w="2448"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Importe</w:t>
            </w:r>
          </w:p>
        </w:tc>
        <w:tc>
          <w:tcPr>
            <w:tcW w:w="1236"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w:t>
            </w:r>
          </w:p>
        </w:tc>
        <w:tc>
          <w:tcPr>
            <w:tcW w:w="2157"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Importe</w:t>
            </w:r>
          </w:p>
        </w:tc>
        <w:tc>
          <w:tcPr>
            <w:tcW w:w="1236" w:type="dxa"/>
            <w:tcBorders>
              <w:top w:val="nil"/>
              <w:left w:val="nil"/>
              <w:bottom w:val="single" w:sz="8" w:space="0" w:color="auto"/>
              <w:right w:val="single" w:sz="8" w:space="0" w:color="auto"/>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w:t>
            </w:r>
          </w:p>
        </w:tc>
      </w:tr>
      <w:tr w:rsidR="003053E6" w:rsidRPr="003053E6" w:rsidTr="003053E6">
        <w:trPr>
          <w:trHeight w:val="256"/>
        </w:trPr>
        <w:tc>
          <w:tcPr>
            <w:tcW w:w="3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Terrenos</w:t>
            </w:r>
          </w:p>
        </w:tc>
        <w:tc>
          <w:tcPr>
            <w:tcW w:w="2448" w:type="dxa"/>
            <w:tcBorders>
              <w:top w:val="single" w:sz="4" w:space="0" w:color="auto"/>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690,800.00</w:t>
            </w:r>
          </w:p>
        </w:tc>
        <w:tc>
          <w:tcPr>
            <w:tcW w:w="1236" w:type="dxa"/>
            <w:tcBorders>
              <w:top w:val="single" w:sz="4" w:space="0" w:color="auto"/>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2.46%</w:t>
            </w:r>
          </w:p>
        </w:tc>
        <w:tc>
          <w:tcPr>
            <w:tcW w:w="2157" w:type="dxa"/>
            <w:tcBorders>
              <w:top w:val="single" w:sz="4" w:space="0" w:color="auto"/>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690,800.00</w:t>
            </w:r>
          </w:p>
        </w:tc>
        <w:tc>
          <w:tcPr>
            <w:tcW w:w="1236"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2.49%</w:t>
            </w:r>
          </w:p>
        </w:tc>
      </w:tr>
      <w:tr w:rsidR="003053E6" w:rsidRPr="003053E6" w:rsidTr="003053E6">
        <w:trPr>
          <w:trHeight w:val="256"/>
        </w:trPr>
        <w:tc>
          <w:tcPr>
            <w:tcW w:w="3221" w:type="dxa"/>
            <w:tcBorders>
              <w:top w:val="nil"/>
              <w:left w:val="single" w:sz="4" w:space="0" w:color="auto"/>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Edificios</w:t>
            </w:r>
          </w:p>
        </w:tc>
        <w:tc>
          <w:tcPr>
            <w:tcW w:w="2448"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188,164.00</w:t>
            </w:r>
          </w:p>
        </w:tc>
        <w:tc>
          <w:tcPr>
            <w:tcW w:w="1236"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0.67%</w:t>
            </w:r>
          </w:p>
        </w:tc>
        <w:tc>
          <w:tcPr>
            <w:tcW w:w="2157"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188,164.00</w:t>
            </w:r>
          </w:p>
        </w:tc>
        <w:tc>
          <w:tcPr>
            <w:tcW w:w="1236"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0.68%</w:t>
            </w:r>
          </w:p>
        </w:tc>
      </w:tr>
      <w:tr w:rsidR="003053E6" w:rsidRPr="003053E6" w:rsidTr="003053E6">
        <w:trPr>
          <w:trHeight w:val="256"/>
        </w:trPr>
        <w:tc>
          <w:tcPr>
            <w:tcW w:w="3221" w:type="dxa"/>
            <w:tcBorders>
              <w:top w:val="nil"/>
              <w:left w:val="single" w:sz="4" w:space="0" w:color="auto"/>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Obras de Infraestructura</w:t>
            </w:r>
          </w:p>
        </w:tc>
        <w:tc>
          <w:tcPr>
            <w:tcW w:w="2448"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16,794,612.00</w:t>
            </w:r>
          </w:p>
        </w:tc>
        <w:tc>
          <w:tcPr>
            <w:tcW w:w="1236"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59.69%</w:t>
            </w:r>
          </w:p>
        </w:tc>
        <w:tc>
          <w:tcPr>
            <w:tcW w:w="2157"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16,794,612.00</w:t>
            </w:r>
          </w:p>
        </w:tc>
        <w:tc>
          <w:tcPr>
            <w:tcW w:w="1236"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60.50%</w:t>
            </w:r>
          </w:p>
        </w:tc>
      </w:tr>
      <w:tr w:rsidR="003053E6" w:rsidRPr="003053E6" w:rsidTr="003053E6">
        <w:trPr>
          <w:trHeight w:val="256"/>
        </w:trPr>
        <w:tc>
          <w:tcPr>
            <w:tcW w:w="3221" w:type="dxa"/>
            <w:tcBorders>
              <w:top w:val="nil"/>
              <w:left w:val="single" w:sz="4" w:space="0" w:color="auto"/>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 xml:space="preserve">Equipo de procesammiento de </w:t>
            </w:r>
          </w:p>
        </w:tc>
        <w:tc>
          <w:tcPr>
            <w:tcW w:w="2448"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731,075.50</w:t>
            </w:r>
          </w:p>
        </w:tc>
        <w:tc>
          <w:tcPr>
            <w:tcW w:w="1236"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2.60%</w:t>
            </w:r>
          </w:p>
        </w:tc>
        <w:tc>
          <w:tcPr>
            <w:tcW w:w="2157"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731,075.50</w:t>
            </w:r>
          </w:p>
        </w:tc>
        <w:tc>
          <w:tcPr>
            <w:tcW w:w="1236"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2.63%</w:t>
            </w:r>
          </w:p>
        </w:tc>
      </w:tr>
      <w:tr w:rsidR="003053E6" w:rsidRPr="003053E6" w:rsidTr="003053E6">
        <w:trPr>
          <w:trHeight w:val="256"/>
        </w:trPr>
        <w:tc>
          <w:tcPr>
            <w:tcW w:w="3221" w:type="dxa"/>
            <w:tcBorders>
              <w:top w:val="nil"/>
              <w:left w:val="single" w:sz="4" w:space="0" w:color="auto"/>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Mobiliario y Equipo de Oficina</w:t>
            </w:r>
          </w:p>
        </w:tc>
        <w:tc>
          <w:tcPr>
            <w:tcW w:w="2448"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637,748.18</w:t>
            </w:r>
          </w:p>
        </w:tc>
        <w:tc>
          <w:tcPr>
            <w:tcW w:w="1236"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2.27%</w:t>
            </w:r>
          </w:p>
        </w:tc>
        <w:tc>
          <w:tcPr>
            <w:tcW w:w="2157"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637,748.18</w:t>
            </w:r>
          </w:p>
        </w:tc>
        <w:tc>
          <w:tcPr>
            <w:tcW w:w="1236"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2.30%</w:t>
            </w:r>
          </w:p>
        </w:tc>
      </w:tr>
      <w:tr w:rsidR="003053E6" w:rsidRPr="003053E6" w:rsidTr="003053E6">
        <w:trPr>
          <w:trHeight w:val="256"/>
        </w:trPr>
        <w:tc>
          <w:tcPr>
            <w:tcW w:w="3221" w:type="dxa"/>
            <w:tcBorders>
              <w:top w:val="nil"/>
              <w:left w:val="single" w:sz="4" w:space="0" w:color="auto"/>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Equipo de transporte</w:t>
            </w:r>
          </w:p>
        </w:tc>
        <w:tc>
          <w:tcPr>
            <w:tcW w:w="2448"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3,698,254.73</w:t>
            </w:r>
          </w:p>
        </w:tc>
        <w:tc>
          <w:tcPr>
            <w:tcW w:w="1236"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13.14%</w:t>
            </w:r>
          </w:p>
        </w:tc>
        <w:tc>
          <w:tcPr>
            <w:tcW w:w="2157"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3,339,289.21</w:t>
            </w:r>
          </w:p>
        </w:tc>
        <w:tc>
          <w:tcPr>
            <w:tcW w:w="1236"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12.03%</w:t>
            </w:r>
          </w:p>
        </w:tc>
      </w:tr>
      <w:tr w:rsidR="003053E6" w:rsidRPr="003053E6" w:rsidTr="003053E6">
        <w:trPr>
          <w:trHeight w:val="256"/>
        </w:trPr>
        <w:tc>
          <w:tcPr>
            <w:tcW w:w="3221" w:type="dxa"/>
            <w:tcBorders>
              <w:top w:val="nil"/>
              <w:left w:val="single" w:sz="4" w:space="0" w:color="auto"/>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Maquinaria y equipo Pesado</w:t>
            </w:r>
          </w:p>
        </w:tc>
        <w:tc>
          <w:tcPr>
            <w:tcW w:w="2448" w:type="dxa"/>
            <w:tcBorders>
              <w:top w:val="nil"/>
              <w:left w:val="nil"/>
              <w:bottom w:val="single" w:sz="4" w:space="0" w:color="auto"/>
              <w:right w:val="single" w:sz="4" w:space="0" w:color="auto"/>
            </w:tcBorders>
            <w:shd w:val="clear" w:color="auto" w:fill="auto"/>
            <w:noWrap/>
            <w:vAlign w:val="bottom"/>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 xml:space="preserve">      </w:t>
            </w:r>
            <w:r>
              <w:rPr>
                <w:rFonts w:ascii="Calibri" w:eastAsia="Times New Roman" w:hAnsi="Calibri" w:cs="Calibri"/>
                <w:color w:val="000000"/>
                <w:lang w:eastAsia="es-MX"/>
              </w:rPr>
              <w:t xml:space="preserve">              </w:t>
            </w:r>
            <w:r w:rsidRPr="003053E6">
              <w:rPr>
                <w:rFonts w:ascii="Calibri" w:eastAsia="Times New Roman" w:hAnsi="Calibri" w:cs="Calibri"/>
                <w:color w:val="000000"/>
                <w:lang w:eastAsia="es-MX"/>
              </w:rPr>
              <w:t xml:space="preserve">  2,866,160.72 </w:t>
            </w:r>
          </w:p>
        </w:tc>
        <w:tc>
          <w:tcPr>
            <w:tcW w:w="1236"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10.19%</w:t>
            </w:r>
          </w:p>
        </w:tc>
        <w:tc>
          <w:tcPr>
            <w:tcW w:w="2157"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5,358,069.46</w:t>
            </w:r>
          </w:p>
        </w:tc>
        <w:tc>
          <w:tcPr>
            <w:tcW w:w="1236"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19.30%</w:t>
            </w:r>
          </w:p>
        </w:tc>
      </w:tr>
      <w:tr w:rsidR="003053E6" w:rsidRPr="003053E6" w:rsidTr="003053E6">
        <w:trPr>
          <w:trHeight w:val="256"/>
        </w:trPr>
        <w:tc>
          <w:tcPr>
            <w:tcW w:w="3221" w:type="dxa"/>
            <w:tcBorders>
              <w:top w:val="nil"/>
              <w:left w:val="single" w:sz="4" w:space="0" w:color="auto"/>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Equipo de Radiocomunicación</w:t>
            </w:r>
          </w:p>
        </w:tc>
        <w:tc>
          <w:tcPr>
            <w:tcW w:w="2448"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18,399.00</w:t>
            </w:r>
          </w:p>
        </w:tc>
        <w:tc>
          <w:tcPr>
            <w:tcW w:w="1236"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0.07%</w:t>
            </w:r>
          </w:p>
        </w:tc>
        <w:tc>
          <w:tcPr>
            <w:tcW w:w="2157"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18,399.00</w:t>
            </w:r>
          </w:p>
        </w:tc>
        <w:tc>
          <w:tcPr>
            <w:tcW w:w="1236"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0.07%</w:t>
            </w:r>
          </w:p>
        </w:tc>
      </w:tr>
      <w:tr w:rsidR="003053E6" w:rsidRPr="003053E6" w:rsidTr="003053E6">
        <w:trPr>
          <w:trHeight w:val="256"/>
        </w:trPr>
        <w:tc>
          <w:tcPr>
            <w:tcW w:w="3221" w:type="dxa"/>
            <w:tcBorders>
              <w:top w:val="nil"/>
              <w:left w:val="single" w:sz="4" w:space="0" w:color="auto"/>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Maquinaria y Equipo I2395</w:t>
            </w:r>
          </w:p>
        </w:tc>
        <w:tc>
          <w:tcPr>
            <w:tcW w:w="2448"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 xml:space="preserve">      </w:t>
            </w:r>
            <w:r>
              <w:rPr>
                <w:rFonts w:ascii="Calibri" w:eastAsia="Times New Roman" w:hAnsi="Calibri" w:cs="Calibri"/>
                <w:color w:val="000000"/>
                <w:lang w:eastAsia="es-MX"/>
              </w:rPr>
              <w:t xml:space="preserve">              </w:t>
            </w:r>
            <w:r w:rsidRPr="003053E6">
              <w:rPr>
                <w:rFonts w:ascii="Calibri" w:eastAsia="Times New Roman" w:hAnsi="Calibri" w:cs="Calibri"/>
                <w:color w:val="000000"/>
                <w:lang w:eastAsia="es-MX"/>
              </w:rPr>
              <w:t xml:space="preserve">  2,510,608.40 </w:t>
            </w:r>
          </w:p>
        </w:tc>
        <w:tc>
          <w:tcPr>
            <w:tcW w:w="1236"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8.92%</w:t>
            </w:r>
          </w:p>
        </w:tc>
        <w:tc>
          <w:tcPr>
            <w:tcW w:w="2157"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 </w:t>
            </w:r>
          </w:p>
        </w:tc>
        <w:tc>
          <w:tcPr>
            <w:tcW w:w="1236"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 </w:t>
            </w:r>
          </w:p>
        </w:tc>
      </w:tr>
      <w:tr w:rsidR="003053E6" w:rsidRPr="003053E6" w:rsidTr="003053E6">
        <w:trPr>
          <w:trHeight w:val="256"/>
        </w:trPr>
        <w:tc>
          <w:tcPr>
            <w:tcW w:w="3221" w:type="dxa"/>
            <w:tcBorders>
              <w:top w:val="nil"/>
              <w:left w:val="single" w:sz="4" w:space="0" w:color="auto"/>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 </w:t>
            </w:r>
          </w:p>
        </w:tc>
        <w:tc>
          <w:tcPr>
            <w:tcW w:w="2448"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w:t>
            </w:r>
          </w:p>
        </w:tc>
        <w:tc>
          <w:tcPr>
            <w:tcW w:w="1236"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w:t>
            </w:r>
          </w:p>
        </w:tc>
        <w:tc>
          <w:tcPr>
            <w:tcW w:w="2157"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w:t>
            </w:r>
          </w:p>
        </w:tc>
        <w:tc>
          <w:tcPr>
            <w:tcW w:w="1236"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w:t>
            </w:r>
          </w:p>
        </w:tc>
      </w:tr>
      <w:tr w:rsidR="003053E6" w:rsidRPr="003053E6" w:rsidTr="003053E6">
        <w:trPr>
          <w:trHeight w:val="256"/>
        </w:trPr>
        <w:tc>
          <w:tcPr>
            <w:tcW w:w="3221" w:type="dxa"/>
            <w:tcBorders>
              <w:top w:val="nil"/>
              <w:left w:val="single" w:sz="4" w:space="0" w:color="auto"/>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Total</w:t>
            </w:r>
          </w:p>
        </w:tc>
        <w:tc>
          <w:tcPr>
            <w:tcW w:w="2448"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28,135,822.53</w:t>
            </w:r>
          </w:p>
        </w:tc>
        <w:tc>
          <w:tcPr>
            <w:tcW w:w="1236"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100.00%</w:t>
            </w:r>
          </w:p>
        </w:tc>
        <w:tc>
          <w:tcPr>
            <w:tcW w:w="2157"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27,758,157.35</w:t>
            </w:r>
          </w:p>
        </w:tc>
        <w:tc>
          <w:tcPr>
            <w:tcW w:w="1236" w:type="dxa"/>
            <w:tcBorders>
              <w:top w:val="nil"/>
              <w:left w:val="nil"/>
              <w:bottom w:val="nil"/>
              <w:right w:val="single" w:sz="8" w:space="0" w:color="auto"/>
            </w:tcBorders>
            <w:shd w:val="clear" w:color="auto" w:fill="auto"/>
            <w:noWrap/>
            <w:vAlign w:val="center"/>
            <w:hideMark/>
          </w:tcPr>
          <w:p w:rsidR="003053E6" w:rsidRPr="003053E6" w:rsidRDefault="003053E6" w:rsidP="003053E6">
            <w:pPr>
              <w:spacing w:after="0" w:line="240" w:lineRule="auto"/>
              <w:jc w:val="right"/>
              <w:rPr>
                <w:rFonts w:ascii="Calibri" w:eastAsia="Times New Roman" w:hAnsi="Calibri" w:cs="Calibri"/>
                <w:color w:val="000000"/>
                <w:lang w:eastAsia="es-MX"/>
              </w:rPr>
            </w:pPr>
            <w:r w:rsidRPr="003053E6">
              <w:rPr>
                <w:rFonts w:ascii="Calibri" w:eastAsia="Times New Roman" w:hAnsi="Calibri" w:cs="Calibri"/>
                <w:color w:val="000000"/>
                <w:lang w:eastAsia="es-MX"/>
              </w:rPr>
              <w:t>100.00%</w:t>
            </w:r>
          </w:p>
        </w:tc>
      </w:tr>
      <w:tr w:rsidR="003053E6" w:rsidRPr="003053E6" w:rsidTr="003053E6">
        <w:trPr>
          <w:trHeight w:val="269"/>
        </w:trPr>
        <w:tc>
          <w:tcPr>
            <w:tcW w:w="3221" w:type="dxa"/>
            <w:tcBorders>
              <w:top w:val="nil"/>
              <w:left w:val="single" w:sz="4" w:space="0" w:color="auto"/>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rPr>
                <w:rFonts w:ascii="Calibri" w:eastAsia="Times New Roman" w:hAnsi="Calibri" w:cs="Calibri"/>
                <w:color w:val="000000"/>
                <w:lang w:eastAsia="es-MX"/>
              </w:rPr>
            </w:pPr>
            <w:r w:rsidRPr="003053E6">
              <w:rPr>
                <w:rFonts w:ascii="Calibri" w:eastAsia="Times New Roman" w:hAnsi="Calibri" w:cs="Calibri"/>
                <w:color w:val="000000"/>
                <w:lang w:eastAsia="es-MX"/>
              </w:rPr>
              <w:t> </w:t>
            </w:r>
          </w:p>
        </w:tc>
        <w:tc>
          <w:tcPr>
            <w:tcW w:w="2448"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w:t>
            </w:r>
          </w:p>
        </w:tc>
        <w:tc>
          <w:tcPr>
            <w:tcW w:w="1236"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w:t>
            </w:r>
          </w:p>
        </w:tc>
        <w:tc>
          <w:tcPr>
            <w:tcW w:w="2157" w:type="dxa"/>
            <w:tcBorders>
              <w:top w:val="nil"/>
              <w:left w:val="nil"/>
              <w:bottom w:val="single" w:sz="4" w:space="0" w:color="auto"/>
              <w:right w:val="single" w:sz="4" w:space="0" w:color="auto"/>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w:t>
            </w:r>
          </w:p>
        </w:tc>
        <w:tc>
          <w:tcPr>
            <w:tcW w:w="1236" w:type="dxa"/>
            <w:tcBorders>
              <w:top w:val="nil"/>
              <w:left w:val="nil"/>
              <w:bottom w:val="single" w:sz="8" w:space="0" w:color="auto"/>
              <w:right w:val="single" w:sz="8" w:space="0" w:color="auto"/>
            </w:tcBorders>
            <w:shd w:val="clear" w:color="auto" w:fill="auto"/>
            <w:noWrap/>
            <w:vAlign w:val="center"/>
            <w:hideMark/>
          </w:tcPr>
          <w:p w:rsidR="003053E6" w:rsidRPr="003053E6" w:rsidRDefault="003053E6" w:rsidP="003053E6">
            <w:pPr>
              <w:spacing w:after="0" w:line="240" w:lineRule="auto"/>
              <w:jc w:val="center"/>
              <w:rPr>
                <w:rFonts w:ascii="Calibri" w:eastAsia="Times New Roman" w:hAnsi="Calibri" w:cs="Calibri"/>
                <w:color w:val="000000"/>
                <w:lang w:eastAsia="es-MX"/>
              </w:rPr>
            </w:pPr>
            <w:r w:rsidRPr="003053E6">
              <w:rPr>
                <w:rFonts w:ascii="Calibri" w:eastAsia="Times New Roman" w:hAnsi="Calibri" w:cs="Calibri"/>
                <w:color w:val="000000"/>
                <w:lang w:eastAsia="es-MX"/>
              </w:rPr>
              <w:t>==========</w:t>
            </w:r>
          </w:p>
        </w:tc>
      </w:tr>
    </w:tbl>
    <w:p w:rsidR="003E673B" w:rsidRDefault="003E673B" w:rsidP="00E43DFF"/>
    <w:p w:rsidR="00ED7F96" w:rsidRDefault="00ED7F96" w:rsidP="00855DFC">
      <w:pPr>
        <w:jc w:val="both"/>
      </w:pPr>
    </w:p>
    <w:p w:rsidR="00BD48A3" w:rsidRDefault="00BD48A3" w:rsidP="00855DFC">
      <w:pPr>
        <w:jc w:val="both"/>
      </w:pPr>
      <w:r>
        <w:t>El organismo realiza sus actividades administrativas y de cobranza en un edificio arrendado, el saldo en Edificios por $ 188,164 corresponde a las casetas de los pozos.</w:t>
      </w:r>
    </w:p>
    <w:p w:rsidR="00BD48A3" w:rsidRDefault="00BD48A3" w:rsidP="00855DFC">
      <w:pPr>
        <w:jc w:val="both"/>
      </w:pPr>
      <w:r>
        <w:t>El saldo de Obras de infraestructura por un importe de $16,794,612 se integra por los costos de los pozos, las líneas de conducción, los tanques de regularización y las redes de conducción de agua potable y de drenaje.</w:t>
      </w:r>
    </w:p>
    <w:p w:rsidR="009931D8" w:rsidRDefault="009931D8" w:rsidP="00E43DFF"/>
    <w:p w:rsidR="00E11095" w:rsidRDefault="00E11095" w:rsidP="00E43DFF"/>
    <w:p w:rsidR="00E11095" w:rsidRDefault="00E11095" w:rsidP="00E43DFF"/>
    <w:p w:rsidR="00E11095" w:rsidRDefault="00E11095" w:rsidP="00E43DFF"/>
    <w:p w:rsidR="00E11095" w:rsidRDefault="00E11095" w:rsidP="00E43DFF"/>
    <w:p w:rsidR="00BD48A3" w:rsidRDefault="00BD48A3" w:rsidP="00855DFC">
      <w:pPr>
        <w:pStyle w:val="Prrafodelista"/>
        <w:numPr>
          <w:ilvl w:val="0"/>
          <w:numId w:val="5"/>
        </w:numPr>
        <w:jc w:val="both"/>
      </w:pPr>
      <w:r>
        <w:t xml:space="preserve">En </w:t>
      </w:r>
      <w:r w:rsidR="0034684E">
        <w:t xml:space="preserve">el ejercicio </w:t>
      </w:r>
      <w:r w:rsidR="007C37F8">
        <w:t>I</w:t>
      </w:r>
      <w:r w:rsidR="0034684E">
        <w:t xml:space="preserve"> T</w:t>
      </w:r>
      <w:r w:rsidR="007C37F8">
        <w:t>RIMESTRE</w:t>
      </w:r>
      <w:r w:rsidR="0034684E">
        <w:t xml:space="preserve"> 201</w:t>
      </w:r>
      <w:r w:rsidR="007C37F8">
        <w:t>7</w:t>
      </w:r>
      <w:r>
        <w:t xml:space="preserve"> se llevaron a cabo altas y bajas de bienes muebles</w:t>
      </w:r>
      <w:r w:rsidR="0034684E">
        <w:t xml:space="preserve"> e inmuebles</w:t>
      </w:r>
      <w:r>
        <w:t xml:space="preserve"> registrados a su valor histórico como sigue:</w:t>
      </w:r>
    </w:p>
    <w:p w:rsidR="00BD48A3" w:rsidRDefault="00BD48A3" w:rsidP="00BD48A3"/>
    <w:p w:rsidR="006A4A18" w:rsidRDefault="00272005" w:rsidP="00BD48A3">
      <w:r>
        <w:t xml:space="preserve">Por el trimestre del 01 de </w:t>
      </w:r>
      <w:r w:rsidR="007C37F8">
        <w:t>Enero</w:t>
      </w:r>
      <w:r w:rsidR="0034684E">
        <w:t xml:space="preserve"> al 3</w:t>
      </w:r>
      <w:r w:rsidR="000101EF">
        <w:t>1</w:t>
      </w:r>
      <w:r w:rsidR="0034684E">
        <w:t xml:space="preserve"> de </w:t>
      </w:r>
      <w:r w:rsidR="007C37F8">
        <w:t>Marzo</w:t>
      </w:r>
      <w:r>
        <w:t xml:space="preserve"> </w:t>
      </w:r>
      <w:r w:rsidR="007C37F8">
        <w:t>2017</w:t>
      </w:r>
    </w:p>
    <w:tbl>
      <w:tblPr>
        <w:tblW w:w="7371" w:type="dxa"/>
        <w:tblInd w:w="-10" w:type="dxa"/>
        <w:tblCellMar>
          <w:left w:w="70" w:type="dxa"/>
          <w:right w:w="70" w:type="dxa"/>
        </w:tblCellMar>
        <w:tblLook w:val="04A0" w:firstRow="1" w:lastRow="0" w:firstColumn="1" w:lastColumn="0" w:noHBand="0" w:noVBand="1"/>
      </w:tblPr>
      <w:tblGrid>
        <w:gridCol w:w="2410"/>
        <w:gridCol w:w="1418"/>
        <w:gridCol w:w="1037"/>
        <w:gridCol w:w="1089"/>
        <w:gridCol w:w="1417"/>
      </w:tblGrid>
      <w:tr w:rsidR="00A82E58" w:rsidRPr="00A82E58" w:rsidTr="00A82E58">
        <w:trPr>
          <w:trHeight w:val="315"/>
        </w:trPr>
        <w:tc>
          <w:tcPr>
            <w:tcW w:w="241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 xml:space="preserve">Concepto </w:t>
            </w:r>
          </w:p>
        </w:tc>
        <w:tc>
          <w:tcPr>
            <w:tcW w:w="245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ALTAS</w:t>
            </w:r>
          </w:p>
        </w:tc>
        <w:tc>
          <w:tcPr>
            <w:tcW w:w="250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BAJAS</w:t>
            </w:r>
          </w:p>
        </w:tc>
      </w:tr>
      <w:tr w:rsidR="00A82E58" w:rsidRPr="00A82E58" w:rsidTr="00A82E58">
        <w:trPr>
          <w:trHeight w:val="315"/>
        </w:trPr>
        <w:tc>
          <w:tcPr>
            <w:tcW w:w="2410" w:type="dxa"/>
            <w:vMerge/>
            <w:tcBorders>
              <w:top w:val="single" w:sz="8" w:space="0" w:color="auto"/>
              <w:left w:val="single" w:sz="8" w:space="0" w:color="auto"/>
              <w:bottom w:val="single" w:sz="8" w:space="0" w:color="000000"/>
              <w:right w:val="single" w:sz="8" w:space="0" w:color="auto"/>
            </w:tcBorders>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p>
        </w:tc>
        <w:tc>
          <w:tcPr>
            <w:tcW w:w="1418" w:type="dxa"/>
            <w:tcBorders>
              <w:top w:val="nil"/>
              <w:left w:val="nil"/>
              <w:bottom w:val="single" w:sz="8" w:space="0" w:color="auto"/>
              <w:right w:val="single" w:sz="8" w:space="0" w:color="auto"/>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Importe</w:t>
            </w:r>
          </w:p>
        </w:tc>
        <w:tc>
          <w:tcPr>
            <w:tcW w:w="1037" w:type="dxa"/>
            <w:tcBorders>
              <w:top w:val="nil"/>
              <w:left w:val="nil"/>
              <w:bottom w:val="single" w:sz="8" w:space="0" w:color="auto"/>
              <w:right w:val="single" w:sz="8" w:space="0" w:color="auto"/>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w:t>
            </w:r>
          </w:p>
        </w:tc>
        <w:tc>
          <w:tcPr>
            <w:tcW w:w="1089" w:type="dxa"/>
            <w:tcBorders>
              <w:top w:val="nil"/>
              <w:left w:val="nil"/>
              <w:bottom w:val="single" w:sz="8" w:space="0" w:color="auto"/>
              <w:right w:val="single" w:sz="8" w:space="0" w:color="auto"/>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Importe</w:t>
            </w:r>
          </w:p>
        </w:tc>
        <w:tc>
          <w:tcPr>
            <w:tcW w:w="1417" w:type="dxa"/>
            <w:tcBorders>
              <w:top w:val="nil"/>
              <w:left w:val="nil"/>
              <w:bottom w:val="single" w:sz="8" w:space="0" w:color="auto"/>
              <w:right w:val="single" w:sz="8" w:space="0" w:color="auto"/>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w:t>
            </w:r>
          </w:p>
        </w:tc>
      </w:tr>
      <w:tr w:rsidR="00A82E58" w:rsidRPr="00A82E58" w:rsidTr="00A82E58">
        <w:trPr>
          <w:trHeight w:val="300"/>
        </w:trPr>
        <w:tc>
          <w:tcPr>
            <w:tcW w:w="2410" w:type="dxa"/>
            <w:tcBorders>
              <w:top w:val="nil"/>
              <w:left w:val="single" w:sz="8" w:space="0" w:color="auto"/>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Terrenos</w:t>
            </w:r>
          </w:p>
        </w:tc>
        <w:tc>
          <w:tcPr>
            <w:tcW w:w="1418"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w:t>
            </w:r>
          </w:p>
        </w:tc>
        <w:tc>
          <w:tcPr>
            <w:tcW w:w="103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c>
          <w:tcPr>
            <w:tcW w:w="1089"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w:t>
            </w:r>
          </w:p>
        </w:tc>
        <w:tc>
          <w:tcPr>
            <w:tcW w:w="141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r>
      <w:tr w:rsidR="00A82E58" w:rsidRPr="00A82E58" w:rsidTr="00A82E58">
        <w:trPr>
          <w:trHeight w:val="300"/>
        </w:trPr>
        <w:tc>
          <w:tcPr>
            <w:tcW w:w="2410" w:type="dxa"/>
            <w:tcBorders>
              <w:top w:val="nil"/>
              <w:left w:val="single" w:sz="8" w:space="0" w:color="auto"/>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Edificios</w:t>
            </w:r>
          </w:p>
        </w:tc>
        <w:tc>
          <w:tcPr>
            <w:tcW w:w="1418"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w:t>
            </w:r>
          </w:p>
        </w:tc>
        <w:tc>
          <w:tcPr>
            <w:tcW w:w="103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c>
          <w:tcPr>
            <w:tcW w:w="1089"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w:t>
            </w:r>
          </w:p>
        </w:tc>
        <w:tc>
          <w:tcPr>
            <w:tcW w:w="141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r>
      <w:tr w:rsidR="00A82E58" w:rsidRPr="00A82E58" w:rsidTr="00A82E58">
        <w:trPr>
          <w:trHeight w:val="300"/>
        </w:trPr>
        <w:tc>
          <w:tcPr>
            <w:tcW w:w="2410" w:type="dxa"/>
            <w:tcBorders>
              <w:top w:val="nil"/>
              <w:left w:val="single" w:sz="8" w:space="0" w:color="auto"/>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Obras de Infraestructura</w:t>
            </w:r>
          </w:p>
        </w:tc>
        <w:tc>
          <w:tcPr>
            <w:tcW w:w="1418"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w:t>
            </w:r>
          </w:p>
        </w:tc>
        <w:tc>
          <w:tcPr>
            <w:tcW w:w="103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c>
          <w:tcPr>
            <w:tcW w:w="1089"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w:t>
            </w:r>
          </w:p>
        </w:tc>
        <w:tc>
          <w:tcPr>
            <w:tcW w:w="141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r>
      <w:tr w:rsidR="00A82E58" w:rsidRPr="00A82E58" w:rsidTr="00A82E58">
        <w:trPr>
          <w:trHeight w:val="300"/>
        </w:trPr>
        <w:tc>
          <w:tcPr>
            <w:tcW w:w="2410" w:type="dxa"/>
            <w:tcBorders>
              <w:top w:val="nil"/>
              <w:left w:val="single" w:sz="8" w:space="0" w:color="auto"/>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Equipo de computo</w:t>
            </w:r>
          </w:p>
        </w:tc>
        <w:tc>
          <w:tcPr>
            <w:tcW w:w="1418" w:type="dxa"/>
            <w:tcBorders>
              <w:top w:val="single" w:sz="4" w:space="0" w:color="C0C0C0"/>
              <w:left w:val="single" w:sz="4" w:space="0" w:color="C0C0C0"/>
              <w:bottom w:val="single" w:sz="4" w:space="0" w:color="C0C0C0"/>
              <w:right w:val="single" w:sz="4" w:space="0" w:color="C0C0C0"/>
            </w:tcBorders>
            <w:shd w:val="clear" w:color="000000" w:fill="FFFFFF"/>
            <w:noWrap/>
            <w:hideMark/>
          </w:tcPr>
          <w:p w:rsidR="00A82E58" w:rsidRPr="00A82E58" w:rsidRDefault="00D40231" w:rsidP="00A82E58">
            <w:pPr>
              <w:spacing w:after="0" w:line="240" w:lineRule="auto"/>
              <w:jc w:val="righ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0</w:t>
            </w:r>
          </w:p>
        </w:tc>
        <w:tc>
          <w:tcPr>
            <w:tcW w:w="1037" w:type="dxa"/>
            <w:tcBorders>
              <w:top w:val="nil"/>
              <w:left w:val="nil"/>
              <w:bottom w:val="nil"/>
              <w:right w:val="single" w:sz="8" w:space="0" w:color="auto"/>
            </w:tcBorders>
            <w:shd w:val="clear" w:color="auto" w:fill="auto"/>
            <w:noWrap/>
            <w:vAlign w:val="center"/>
            <w:hideMark/>
          </w:tcPr>
          <w:p w:rsidR="00A82E58" w:rsidRPr="00A82E58" w:rsidRDefault="00543D70" w:rsidP="00A82E58">
            <w:pPr>
              <w:spacing w:after="0" w:line="240" w:lineRule="auto"/>
              <w:jc w:val="right"/>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0</w:t>
            </w:r>
            <w:r w:rsidR="00A82E58" w:rsidRPr="00A82E58">
              <w:rPr>
                <w:rFonts w:ascii="Calibri" w:eastAsia="Times New Roman" w:hAnsi="Calibri" w:cs="Times New Roman"/>
                <w:color w:val="000000"/>
                <w:sz w:val="18"/>
                <w:szCs w:val="18"/>
                <w:lang w:eastAsia="es-MX"/>
              </w:rPr>
              <w:t>%</w:t>
            </w:r>
          </w:p>
        </w:tc>
        <w:tc>
          <w:tcPr>
            <w:tcW w:w="1089"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w:t>
            </w:r>
          </w:p>
        </w:tc>
        <w:tc>
          <w:tcPr>
            <w:tcW w:w="141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r>
      <w:tr w:rsidR="00A82E58" w:rsidRPr="00A82E58" w:rsidTr="00A82E58">
        <w:trPr>
          <w:trHeight w:val="300"/>
        </w:trPr>
        <w:tc>
          <w:tcPr>
            <w:tcW w:w="2410" w:type="dxa"/>
            <w:tcBorders>
              <w:top w:val="nil"/>
              <w:left w:val="single" w:sz="8" w:space="0" w:color="auto"/>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Mobiliario y Equipo de Oficina</w:t>
            </w:r>
          </w:p>
        </w:tc>
        <w:tc>
          <w:tcPr>
            <w:tcW w:w="1418"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w:t>
            </w:r>
          </w:p>
        </w:tc>
        <w:tc>
          <w:tcPr>
            <w:tcW w:w="103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c>
          <w:tcPr>
            <w:tcW w:w="1089"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w:t>
            </w:r>
          </w:p>
        </w:tc>
        <w:tc>
          <w:tcPr>
            <w:tcW w:w="141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r>
      <w:tr w:rsidR="00A82E58" w:rsidRPr="00A82E58" w:rsidTr="00A82E58">
        <w:trPr>
          <w:trHeight w:val="300"/>
        </w:trPr>
        <w:tc>
          <w:tcPr>
            <w:tcW w:w="2410" w:type="dxa"/>
            <w:tcBorders>
              <w:top w:val="nil"/>
              <w:left w:val="single" w:sz="8" w:space="0" w:color="auto"/>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Equipo de transporte</w:t>
            </w:r>
          </w:p>
        </w:tc>
        <w:tc>
          <w:tcPr>
            <w:tcW w:w="1418" w:type="dxa"/>
            <w:tcBorders>
              <w:top w:val="single" w:sz="4" w:space="0" w:color="C0C0C0"/>
              <w:left w:val="single" w:sz="4" w:space="0" w:color="C0C0C0"/>
              <w:bottom w:val="single" w:sz="4" w:space="0" w:color="C0C0C0"/>
              <w:right w:val="single" w:sz="4" w:space="0" w:color="C0C0C0"/>
            </w:tcBorders>
            <w:shd w:val="clear" w:color="000000" w:fill="FFFFFF"/>
            <w:noWrap/>
            <w:hideMark/>
          </w:tcPr>
          <w:p w:rsidR="00A82E58" w:rsidRPr="00D40231" w:rsidRDefault="00D40231" w:rsidP="00D40231">
            <w:pPr>
              <w:jc w:val="right"/>
              <w:rPr>
                <w:rFonts w:ascii="Arial" w:hAnsi="Arial" w:cs="Arial"/>
                <w:b/>
                <w:bCs/>
                <w:color w:val="000000"/>
                <w:sz w:val="16"/>
                <w:szCs w:val="16"/>
              </w:rPr>
            </w:pPr>
            <w:r>
              <w:rPr>
                <w:rFonts w:ascii="Arial" w:hAnsi="Arial" w:cs="Arial"/>
                <w:b/>
                <w:bCs/>
                <w:color w:val="000000"/>
                <w:sz w:val="16"/>
                <w:szCs w:val="16"/>
              </w:rPr>
              <w:t>358,965.52</w:t>
            </w:r>
          </w:p>
        </w:tc>
        <w:tc>
          <w:tcPr>
            <w:tcW w:w="1037" w:type="dxa"/>
            <w:tcBorders>
              <w:top w:val="nil"/>
              <w:left w:val="nil"/>
              <w:bottom w:val="nil"/>
              <w:right w:val="single" w:sz="8" w:space="0" w:color="auto"/>
            </w:tcBorders>
            <w:shd w:val="clear" w:color="auto" w:fill="auto"/>
            <w:noWrap/>
            <w:vAlign w:val="center"/>
            <w:hideMark/>
          </w:tcPr>
          <w:p w:rsidR="00A82E58" w:rsidRPr="00A82E58" w:rsidRDefault="00543D70" w:rsidP="00A82E58">
            <w:pPr>
              <w:spacing w:after="0" w:line="240" w:lineRule="auto"/>
              <w:jc w:val="right"/>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95</w:t>
            </w:r>
            <w:r w:rsidR="00A82E58" w:rsidRPr="00A82E58">
              <w:rPr>
                <w:rFonts w:ascii="Calibri" w:eastAsia="Times New Roman" w:hAnsi="Calibri" w:cs="Times New Roman"/>
                <w:color w:val="000000"/>
                <w:sz w:val="18"/>
                <w:szCs w:val="18"/>
                <w:lang w:eastAsia="es-MX"/>
              </w:rPr>
              <w:t>%</w:t>
            </w:r>
          </w:p>
        </w:tc>
        <w:tc>
          <w:tcPr>
            <w:tcW w:w="1089"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c>
          <w:tcPr>
            <w:tcW w:w="141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0.00</w:t>
            </w:r>
            <w:r w:rsidRPr="00A82E58">
              <w:rPr>
                <w:rFonts w:ascii="Calibri" w:eastAsia="Times New Roman" w:hAnsi="Calibri" w:cs="Times New Roman"/>
                <w:color w:val="000000"/>
                <w:sz w:val="18"/>
                <w:szCs w:val="18"/>
                <w:lang w:eastAsia="es-MX"/>
              </w:rPr>
              <w:t>%</w:t>
            </w:r>
          </w:p>
        </w:tc>
      </w:tr>
      <w:tr w:rsidR="00A82E58" w:rsidRPr="00A82E58" w:rsidTr="00A82E58">
        <w:trPr>
          <w:trHeight w:val="300"/>
        </w:trPr>
        <w:tc>
          <w:tcPr>
            <w:tcW w:w="2410" w:type="dxa"/>
            <w:tcBorders>
              <w:top w:val="nil"/>
              <w:left w:val="single" w:sz="8" w:space="0" w:color="auto"/>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Maquinaria y equipo</w:t>
            </w:r>
          </w:p>
        </w:tc>
        <w:tc>
          <w:tcPr>
            <w:tcW w:w="1418" w:type="dxa"/>
            <w:tcBorders>
              <w:top w:val="nil"/>
              <w:left w:val="nil"/>
              <w:bottom w:val="nil"/>
              <w:right w:val="single" w:sz="8" w:space="0" w:color="auto"/>
            </w:tcBorders>
            <w:shd w:val="clear" w:color="auto" w:fill="auto"/>
            <w:noWrap/>
            <w:vAlign w:val="center"/>
            <w:hideMark/>
          </w:tcPr>
          <w:p w:rsidR="00A82E58" w:rsidRPr="00A82E58" w:rsidRDefault="00543D70" w:rsidP="00A82E58">
            <w:pPr>
              <w:spacing w:after="0" w:line="240" w:lineRule="auto"/>
              <w:jc w:val="right"/>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18,700.00</w:t>
            </w:r>
          </w:p>
        </w:tc>
        <w:tc>
          <w:tcPr>
            <w:tcW w:w="1037" w:type="dxa"/>
            <w:tcBorders>
              <w:top w:val="nil"/>
              <w:left w:val="nil"/>
              <w:bottom w:val="nil"/>
              <w:right w:val="single" w:sz="8" w:space="0" w:color="auto"/>
            </w:tcBorders>
            <w:shd w:val="clear" w:color="auto" w:fill="auto"/>
            <w:noWrap/>
            <w:vAlign w:val="center"/>
            <w:hideMark/>
          </w:tcPr>
          <w:p w:rsidR="00A82E58" w:rsidRPr="00A82E58" w:rsidRDefault="00543D70" w:rsidP="00A82E58">
            <w:pPr>
              <w:spacing w:after="0" w:line="240" w:lineRule="auto"/>
              <w:jc w:val="right"/>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5</w:t>
            </w:r>
            <w:r w:rsidR="00A82E58" w:rsidRPr="00A82E58">
              <w:rPr>
                <w:rFonts w:ascii="Calibri" w:eastAsia="Times New Roman" w:hAnsi="Calibri" w:cs="Times New Roman"/>
                <w:color w:val="000000"/>
                <w:sz w:val="18"/>
                <w:szCs w:val="18"/>
                <w:lang w:eastAsia="es-MX"/>
              </w:rPr>
              <w:t>%</w:t>
            </w:r>
          </w:p>
        </w:tc>
        <w:tc>
          <w:tcPr>
            <w:tcW w:w="1089"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c>
          <w:tcPr>
            <w:tcW w:w="141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0.00</w:t>
            </w:r>
            <w:r w:rsidRPr="00A82E58">
              <w:rPr>
                <w:rFonts w:ascii="Calibri" w:eastAsia="Times New Roman" w:hAnsi="Calibri" w:cs="Times New Roman"/>
                <w:color w:val="000000"/>
                <w:sz w:val="18"/>
                <w:szCs w:val="18"/>
                <w:lang w:eastAsia="es-MX"/>
              </w:rPr>
              <w:t>%</w:t>
            </w:r>
          </w:p>
        </w:tc>
      </w:tr>
      <w:tr w:rsidR="00A82E58" w:rsidRPr="00A82E58" w:rsidTr="00A82E58">
        <w:trPr>
          <w:trHeight w:val="300"/>
        </w:trPr>
        <w:tc>
          <w:tcPr>
            <w:tcW w:w="2410" w:type="dxa"/>
            <w:tcBorders>
              <w:top w:val="nil"/>
              <w:left w:val="single" w:sz="8" w:space="0" w:color="auto"/>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Equipo de Radiocomunicación</w:t>
            </w:r>
          </w:p>
        </w:tc>
        <w:tc>
          <w:tcPr>
            <w:tcW w:w="1418"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w:t>
            </w:r>
          </w:p>
        </w:tc>
        <w:tc>
          <w:tcPr>
            <w:tcW w:w="103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c>
          <w:tcPr>
            <w:tcW w:w="1089"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w:t>
            </w:r>
          </w:p>
        </w:tc>
        <w:tc>
          <w:tcPr>
            <w:tcW w:w="141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r>
      <w:tr w:rsidR="00A82E58" w:rsidRPr="00A82E58" w:rsidTr="00A82E58">
        <w:trPr>
          <w:trHeight w:val="300"/>
        </w:trPr>
        <w:tc>
          <w:tcPr>
            <w:tcW w:w="2410" w:type="dxa"/>
            <w:tcBorders>
              <w:top w:val="nil"/>
              <w:left w:val="single" w:sz="8" w:space="0" w:color="auto"/>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 </w:t>
            </w:r>
          </w:p>
        </w:tc>
        <w:tc>
          <w:tcPr>
            <w:tcW w:w="1418"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 </w:t>
            </w:r>
          </w:p>
        </w:tc>
        <w:tc>
          <w:tcPr>
            <w:tcW w:w="103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 </w:t>
            </w:r>
          </w:p>
        </w:tc>
        <w:tc>
          <w:tcPr>
            <w:tcW w:w="1089"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 </w:t>
            </w:r>
          </w:p>
        </w:tc>
        <w:tc>
          <w:tcPr>
            <w:tcW w:w="141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 </w:t>
            </w:r>
          </w:p>
        </w:tc>
      </w:tr>
      <w:tr w:rsidR="00A82E58" w:rsidRPr="00A82E58" w:rsidTr="00A82E58">
        <w:trPr>
          <w:trHeight w:val="300"/>
        </w:trPr>
        <w:tc>
          <w:tcPr>
            <w:tcW w:w="2410" w:type="dxa"/>
            <w:tcBorders>
              <w:top w:val="nil"/>
              <w:left w:val="single" w:sz="8" w:space="0" w:color="auto"/>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 </w:t>
            </w:r>
          </w:p>
        </w:tc>
        <w:tc>
          <w:tcPr>
            <w:tcW w:w="1418"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w:t>
            </w:r>
          </w:p>
        </w:tc>
        <w:tc>
          <w:tcPr>
            <w:tcW w:w="103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w:t>
            </w:r>
          </w:p>
        </w:tc>
        <w:tc>
          <w:tcPr>
            <w:tcW w:w="1089"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w:t>
            </w:r>
          </w:p>
        </w:tc>
        <w:tc>
          <w:tcPr>
            <w:tcW w:w="141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w:t>
            </w:r>
          </w:p>
        </w:tc>
      </w:tr>
      <w:tr w:rsidR="00A82E58" w:rsidRPr="00A82E58" w:rsidTr="00A82E58">
        <w:trPr>
          <w:trHeight w:val="300"/>
        </w:trPr>
        <w:tc>
          <w:tcPr>
            <w:tcW w:w="2410" w:type="dxa"/>
            <w:tcBorders>
              <w:top w:val="nil"/>
              <w:left w:val="single" w:sz="8" w:space="0" w:color="auto"/>
              <w:bottom w:val="nil"/>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Total</w:t>
            </w:r>
          </w:p>
        </w:tc>
        <w:tc>
          <w:tcPr>
            <w:tcW w:w="1418" w:type="dxa"/>
            <w:tcBorders>
              <w:top w:val="nil"/>
              <w:left w:val="nil"/>
              <w:bottom w:val="nil"/>
              <w:right w:val="single" w:sz="8" w:space="0" w:color="auto"/>
            </w:tcBorders>
            <w:shd w:val="clear" w:color="auto" w:fill="auto"/>
            <w:noWrap/>
            <w:vAlign w:val="center"/>
            <w:hideMark/>
          </w:tcPr>
          <w:p w:rsidR="00A82E58" w:rsidRPr="00A82E58" w:rsidRDefault="00543D70" w:rsidP="00A82E58">
            <w:pPr>
              <w:spacing w:after="0" w:line="240" w:lineRule="auto"/>
              <w:jc w:val="right"/>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377,665.52</w:t>
            </w:r>
          </w:p>
        </w:tc>
        <w:tc>
          <w:tcPr>
            <w:tcW w:w="103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100.00%</w:t>
            </w:r>
          </w:p>
        </w:tc>
        <w:tc>
          <w:tcPr>
            <w:tcW w:w="1089"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0.00</w:t>
            </w:r>
          </w:p>
        </w:tc>
        <w:tc>
          <w:tcPr>
            <w:tcW w:w="1417" w:type="dxa"/>
            <w:tcBorders>
              <w:top w:val="nil"/>
              <w:left w:val="nil"/>
              <w:bottom w:val="nil"/>
              <w:right w:val="single" w:sz="8" w:space="0" w:color="auto"/>
            </w:tcBorders>
            <w:shd w:val="clear" w:color="auto" w:fill="auto"/>
            <w:noWrap/>
            <w:vAlign w:val="center"/>
            <w:hideMark/>
          </w:tcPr>
          <w:p w:rsidR="00A82E58" w:rsidRPr="00A82E58" w:rsidRDefault="00A82E58" w:rsidP="00A82E58">
            <w:pPr>
              <w:spacing w:after="0" w:line="240" w:lineRule="auto"/>
              <w:jc w:val="right"/>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100.00%</w:t>
            </w:r>
          </w:p>
        </w:tc>
      </w:tr>
      <w:tr w:rsidR="00A82E58" w:rsidRPr="00A82E58" w:rsidTr="00A82E58">
        <w:trPr>
          <w:trHeight w:val="315"/>
        </w:trPr>
        <w:tc>
          <w:tcPr>
            <w:tcW w:w="2410" w:type="dxa"/>
            <w:tcBorders>
              <w:top w:val="nil"/>
              <w:left w:val="single" w:sz="8" w:space="0" w:color="auto"/>
              <w:bottom w:val="single" w:sz="8" w:space="0" w:color="auto"/>
              <w:right w:val="single" w:sz="8" w:space="0" w:color="auto"/>
            </w:tcBorders>
            <w:shd w:val="clear" w:color="auto" w:fill="auto"/>
            <w:noWrap/>
            <w:vAlign w:val="center"/>
            <w:hideMark/>
          </w:tcPr>
          <w:p w:rsidR="00A82E58" w:rsidRPr="00A82E58" w:rsidRDefault="00A82E58" w:rsidP="00A82E58">
            <w:pPr>
              <w:spacing w:after="0" w:line="240" w:lineRule="auto"/>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 </w:t>
            </w:r>
          </w:p>
        </w:tc>
        <w:tc>
          <w:tcPr>
            <w:tcW w:w="1418" w:type="dxa"/>
            <w:tcBorders>
              <w:top w:val="nil"/>
              <w:left w:val="nil"/>
              <w:bottom w:val="single" w:sz="8" w:space="0" w:color="auto"/>
              <w:right w:val="single" w:sz="8" w:space="0" w:color="auto"/>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w:t>
            </w:r>
          </w:p>
        </w:tc>
        <w:tc>
          <w:tcPr>
            <w:tcW w:w="1037" w:type="dxa"/>
            <w:tcBorders>
              <w:top w:val="nil"/>
              <w:left w:val="nil"/>
              <w:bottom w:val="single" w:sz="8" w:space="0" w:color="auto"/>
              <w:right w:val="single" w:sz="8" w:space="0" w:color="auto"/>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w:t>
            </w:r>
          </w:p>
        </w:tc>
        <w:tc>
          <w:tcPr>
            <w:tcW w:w="1089" w:type="dxa"/>
            <w:tcBorders>
              <w:top w:val="nil"/>
              <w:left w:val="nil"/>
              <w:bottom w:val="single" w:sz="8" w:space="0" w:color="auto"/>
              <w:right w:val="single" w:sz="8" w:space="0" w:color="auto"/>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w:t>
            </w:r>
          </w:p>
        </w:tc>
        <w:tc>
          <w:tcPr>
            <w:tcW w:w="1417" w:type="dxa"/>
            <w:tcBorders>
              <w:top w:val="nil"/>
              <w:left w:val="nil"/>
              <w:bottom w:val="single" w:sz="8" w:space="0" w:color="auto"/>
              <w:right w:val="single" w:sz="8" w:space="0" w:color="auto"/>
            </w:tcBorders>
            <w:shd w:val="clear" w:color="auto" w:fill="auto"/>
            <w:noWrap/>
            <w:vAlign w:val="center"/>
            <w:hideMark/>
          </w:tcPr>
          <w:p w:rsidR="00A82E58" w:rsidRPr="00A82E58" w:rsidRDefault="00A82E58" w:rsidP="00A82E58">
            <w:pPr>
              <w:spacing w:after="0" w:line="240" w:lineRule="auto"/>
              <w:jc w:val="center"/>
              <w:rPr>
                <w:rFonts w:ascii="Calibri" w:eastAsia="Times New Roman" w:hAnsi="Calibri" w:cs="Times New Roman"/>
                <w:color w:val="000000"/>
                <w:sz w:val="18"/>
                <w:szCs w:val="18"/>
                <w:lang w:eastAsia="es-MX"/>
              </w:rPr>
            </w:pPr>
            <w:r w:rsidRPr="00A82E58">
              <w:rPr>
                <w:rFonts w:ascii="Calibri" w:eastAsia="Times New Roman" w:hAnsi="Calibri" w:cs="Times New Roman"/>
                <w:color w:val="000000"/>
                <w:sz w:val="18"/>
                <w:szCs w:val="18"/>
                <w:lang w:eastAsia="es-MX"/>
              </w:rPr>
              <w:t>==========</w:t>
            </w:r>
          </w:p>
        </w:tc>
      </w:tr>
    </w:tbl>
    <w:p w:rsidR="006A4A18" w:rsidRDefault="006A4A18" w:rsidP="00BD48A3"/>
    <w:p w:rsidR="00B13F75" w:rsidRDefault="0034684E" w:rsidP="00855DFC">
      <w:pPr>
        <w:jc w:val="both"/>
      </w:pPr>
      <w:r>
        <w:t>E</w:t>
      </w:r>
      <w:r w:rsidR="00E6102D">
        <w:t xml:space="preserve">n el Periodo del </w:t>
      </w:r>
      <w:r w:rsidR="000101EF">
        <w:t>I</w:t>
      </w:r>
      <w:r w:rsidR="00543D70">
        <w:t>I</w:t>
      </w:r>
      <w:r w:rsidR="00E6102D">
        <w:t xml:space="preserve"> trimestre 201</w:t>
      </w:r>
      <w:r w:rsidR="00A82E58">
        <w:t>7</w:t>
      </w:r>
      <w:r w:rsidR="00DC4551">
        <w:t xml:space="preserve"> se adquirió  Equipo de Transporte por la cantidad de $ </w:t>
      </w:r>
      <w:r w:rsidR="00543D70">
        <w:t xml:space="preserve">358,965.52 1 </w:t>
      </w:r>
      <w:r w:rsidR="00DC4551">
        <w:t xml:space="preserve"> </w:t>
      </w:r>
      <w:r w:rsidR="000101EF">
        <w:t xml:space="preserve">Vehículo </w:t>
      </w:r>
      <w:r w:rsidR="00543D70">
        <w:t>Toyota Raw4</w:t>
      </w:r>
      <w:r w:rsidR="00DC4551">
        <w:t xml:space="preserve"> 2017</w:t>
      </w:r>
      <w:r w:rsidR="000101EF">
        <w:t>.</w:t>
      </w:r>
      <w:r w:rsidR="00856303">
        <w:t xml:space="preserve"> Asi como un equipo dosificador de gas cloro $ 18,700.00</w:t>
      </w:r>
    </w:p>
    <w:p w:rsidR="00265A5E" w:rsidRDefault="00265A5E" w:rsidP="00855DFC">
      <w:pPr>
        <w:jc w:val="both"/>
      </w:pPr>
      <w:r>
        <w:t>El Organismo está en Gestión para la adquisición</w:t>
      </w:r>
      <w:r w:rsidR="0034684E">
        <w:t xml:space="preserve"> </w:t>
      </w:r>
      <w:r>
        <w:t xml:space="preserve"> de un sistema que </w:t>
      </w:r>
      <w:r w:rsidR="002C5FE7">
        <w:t xml:space="preserve">facilite </w:t>
      </w:r>
      <w:r>
        <w:t xml:space="preserve"> dar cumplimiento </w:t>
      </w:r>
      <w:r w:rsidR="002C5FE7">
        <w:t xml:space="preserve">a la normativa de la Contabilidad Gubernamental y en  </w:t>
      </w:r>
      <w:r>
        <w:t xml:space="preserve">proceso de elaboración del Catálogo de bienes que permite la interacción automática con el clasificador por Objeto </w:t>
      </w:r>
      <w:r w:rsidR="002C5FE7">
        <w:t>del Gasto y la Lista de Cuentas, y proceder a dar cumplimiento con base en las reglas de registro y valoración del patrimonio.</w:t>
      </w:r>
    </w:p>
    <w:p w:rsidR="002C5FE7" w:rsidRPr="008A2351" w:rsidRDefault="002C5FE7" w:rsidP="00855DFC">
      <w:pPr>
        <w:jc w:val="both"/>
      </w:pPr>
      <w:r w:rsidRPr="008A2351">
        <w:t xml:space="preserve">NOTA 6. </w:t>
      </w:r>
      <w:r w:rsidR="00C05173" w:rsidRPr="008A2351">
        <w:t xml:space="preserve"> </w:t>
      </w:r>
      <w:r w:rsidR="00017F4F">
        <w:t>COMISION</w:t>
      </w:r>
      <w:r w:rsidR="00521C7B">
        <w:t xml:space="preserve"> NACIONAL DEL AGUA</w:t>
      </w:r>
      <w:r w:rsidRPr="008A2351">
        <w:t>.</w:t>
      </w:r>
    </w:p>
    <w:p w:rsidR="00A54D4A" w:rsidRDefault="002C5FE7" w:rsidP="00855DFC">
      <w:pPr>
        <w:jc w:val="both"/>
      </w:pPr>
      <w:r w:rsidRPr="008A2351">
        <w:t>El saldo al 3</w:t>
      </w:r>
      <w:r w:rsidR="00856303">
        <w:t>0</w:t>
      </w:r>
      <w:r w:rsidRPr="008A2351">
        <w:t xml:space="preserve"> de </w:t>
      </w:r>
      <w:r w:rsidR="00856303">
        <w:t>Junio</w:t>
      </w:r>
      <w:r w:rsidR="00DC4551">
        <w:t xml:space="preserve"> 2017</w:t>
      </w:r>
      <w:r w:rsidRPr="008A2351">
        <w:t xml:space="preserve"> </w:t>
      </w:r>
      <w:r w:rsidR="008A2351">
        <w:t xml:space="preserve">por un importe </w:t>
      </w:r>
      <w:r w:rsidRPr="008A2351">
        <w:t xml:space="preserve">de </w:t>
      </w:r>
      <w:r w:rsidR="00E34FA0" w:rsidRPr="008A2351">
        <w:t xml:space="preserve"> $ </w:t>
      </w:r>
      <w:r w:rsidR="00856303" w:rsidRPr="00856303">
        <w:rPr>
          <w:rFonts w:ascii="Arial" w:eastAsia="Times New Roman" w:hAnsi="Arial" w:cs="Arial"/>
          <w:color w:val="000000"/>
          <w:sz w:val="16"/>
          <w:szCs w:val="16"/>
          <w:lang w:eastAsia="es-MX"/>
        </w:rPr>
        <w:t>9,725,641.62</w:t>
      </w:r>
      <w:r w:rsidRPr="008A2351">
        <w:t>, corresponde principalmente al importe por pagar de derechos por uso o aprovechamiento de agua nacionales y en segundo término por los adeudos de los</w:t>
      </w:r>
      <w:r>
        <w:t xml:space="preserve"> derechos de descargas de aguas residuales.</w:t>
      </w:r>
      <w:r w:rsidR="00A54D4A">
        <w:t xml:space="preserve"> Actualmente estamos adheridos al “ Programa de Regularización del pago de Derechos y Aprovechamientos de Agua y Derechos por descargas de aguas residuales para Municipios y Organismos Operadores”</w:t>
      </w:r>
    </w:p>
    <w:p w:rsidR="00E11095" w:rsidRDefault="00E11095" w:rsidP="00855DFC">
      <w:pPr>
        <w:jc w:val="both"/>
      </w:pPr>
    </w:p>
    <w:p w:rsidR="00E11095" w:rsidRDefault="00E11095" w:rsidP="00855DFC">
      <w:pPr>
        <w:jc w:val="both"/>
      </w:pPr>
    </w:p>
    <w:p w:rsidR="00E11095" w:rsidRDefault="00E11095" w:rsidP="00855DFC">
      <w:pPr>
        <w:jc w:val="both"/>
      </w:pPr>
    </w:p>
    <w:p w:rsidR="00A54D4A" w:rsidRDefault="00A54D4A" w:rsidP="00855DFC">
      <w:pPr>
        <w:jc w:val="both"/>
      </w:pPr>
      <w:r>
        <w:lastRenderedPageBreak/>
        <w:t>NOTA 7. RETENCIONES Y CONTRIBUCIONES Y OTRAS CUENTAS POR PAGAR</w:t>
      </w:r>
    </w:p>
    <w:p w:rsidR="00A54D4A" w:rsidRDefault="00A54D4A" w:rsidP="00855DFC">
      <w:pPr>
        <w:jc w:val="both"/>
      </w:pPr>
      <w:r>
        <w:t xml:space="preserve">Al </w:t>
      </w:r>
      <w:r w:rsidR="00E34FA0">
        <w:t>3</w:t>
      </w:r>
      <w:r w:rsidR="00426C95">
        <w:t>1</w:t>
      </w:r>
      <w:r w:rsidR="00E34FA0">
        <w:t xml:space="preserve"> de </w:t>
      </w:r>
      <w:r w:rsidR="00856303">
        <w:t>Marzo</w:t>
      </w:r>
      <w:r w:rsidR="008A2351">
        <w:t xml:space="preserve"> </w:t>
      </w:r>
      <w:r w:rsidR="00E34FA0">
        <w:t xml:space="preserve"> </w:t>
      </w:r>
      <w:r w:rsidR="00DC4551">
        <w:t>201</w:t>
      </w:r>
      <w:r w:rsidR="00856303">
        <w:t>7</w:t>
      </w:r>
      <w:r w:rsidR="00DC4551">
        <w:t xml:space="preserve"> </w:t>
      </w:r>
      <w:r w:rsidR="00E34FA0">
        <w:t xml:space="preserve">y </w:t>
      </w:r>
      <w:r w:rsidR="00DC4551">
        <w:t>3</w:t>
      </w:r>
      <w:r w:rsidR="00856303">
        <w:t>0</w:t>
      </w:r>
      <w:r w:rsidR="00DC4551">
        <w:t xml:space="preserve"> de </w:t>
      </w:r>
      <w:r w:rsidR="00856303">
        <w:t>junio</w:t>
      </w:r>
      <w:r w:rsidR="00DC4551">
        <w:t xml:space="preserve"> 2017</w:t>
      </w:r>
      <w:r w:rsidR="00C05173">
        <w:t xml:space="preserve"> </w:t>
      </w:r>
      <w:r>
        <w:t xml:space="preserve">  se Integra como sigue:</w:t>
      </w:r>
    </w:p>
    <w:tbl>
      <w:tblPr>
        <w:tblW w:w="8843" w:type="dxa"/>
        <w:tblInd w:w="-10" w:type="dxa"/>
        <w:tblCellMar>
          <w:left w:w="70" w:type="dxa"/>
          <w:right w:w="70" w:type="dxa"/>
        </w:tblCellMar>
        <w:tblLook w:val="04A0" w:firstRow="1" w:lastRow="0" w:firstColumn="1" w:lastColumn="0" w:noHBand="0" w:noVBand="1"/>
      </w:tblPr>
      <w:tblGrid>
        <w:gridCol w:w="2813"/>
        <w:gridCol w:w="2596"/>
        <w:gridCol w:w="632"/>
        <w:gridCol w:w="2287"/>
        <w:gridCol w:w="632"/>
      </w:tblGrid>
      <w:tr w:rsidR="005B2599" w:rsidRPr="005B2599" w:rsidTr="005B2599">
        <w:trPr>
          <w:trHeight w:val="320"/>
        </w:trPr>
        <w:tc>
          <w:tcPr>
            <w:tcW w:w="2813" w:type="dxa"/>
            <w:tcBorders>
              <w:top w:val="single" w:sz="8" w:space="0" w:color="auto"/>
              <w:left w:val="single" w:sz="8" w:space="0" w:color="auto"/>
              <w:bottom w:val="nil"/>
              <w:right w:val="nil"/>
            </w:tcBorders>
            <w:shd w:val="clear" w:color="auto" w:fill="auto"/>
            <w:noWrap/>
            <w:vAlign w:val="center"/>
            <w:hideMark/>
          </w:tcPr>
          <w:p w:rsidR="005B2599" w:rsidRPr="005B2599" w:rsidRDefault="005B2599" w:rsidP="005B2599">
            <w:pPr>
              <w:spacing w:after="0" w:line="240" w:lineRule="auto"/>
              <w:jc w:val="center"/>
              <w:rPr>
                <w:rFonts w:ascii="Calibri" w:eastAsia="Times New Roman" w:hAnsi="Calibri" w:cs="Calibri"/>
                <w:color w:val="000000"/>
                <w:lang w:eastAsia="es-MX"/>
              </w:rPr>
            </w:pPr>
            <w:r w:rsidRPr="005B2599">
              <w:rPr>
                <w:rFonts w:ascii="Calibri" w:eastAsia="Times New Roman" w:hAnsi="Calibri" w:cs="Calibri"/>
                <w:color w:val="000000"/>
                <w:lang w:eastAsia="es-MX"/>
              </w:rPr>
              <w:t>CONCEPTO</w:t>
            </w:r>
          </w:p>
        </w:tc>
        <w:tc>
          <w:tcPr>
            <w:tcW w:w="3169"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B2599" w:rsidRPr="005B2599" w:rsidRDefault="005B2599" w:rsidP="005B2599">
            <w:pPr>
              <w:spacing w:after="0" w:line="240" w:lineRule="auto"/>
              <w:jc w:val="center"/>
              <w:rPr>
                <w:rFonts w:ascii="Calibri" w:eastAsia="Times New Roman" w:hAnsi="Calibri" w:cs="Calibri"/>
                <w:color w:val="000000"/>
                <w:lang w:eastAsia="es-MX"/>
              </w:rPr>
            </w:pPr>
            <w:r w:rsidRPr="005B2599">
              <w:rPr>
                <w:rFonts w:ascii="Calibri" w:eastAsia="Times New Roman" w:hAnsi="Calibri" w:cs="Calibri"/>
                <w:color w:val="000000"/>
                <w:lang w:eastAsia="es-MX"/>
              </w:rPr>
              <w:t>II TRIMESTRE 2017</w:t>
            </w:r>
          </w:p>
        </w:tc>
        <w:tc>
          <w:tcPr>
            <w:tcW w:w="2861" w:type="dxa"/>
            <w:gridSpan w:val="2"/>
            <w:tcBorders>
              <w:top w:val="single" w:sz="8" w:space="0" w:color="auto"/>
              <w:left w:val="nil"/>
              <w:bottom w:val="single" w:sz="8" w:space="0" w:color="auto"/>
              <w:right w:val="single" w:sz="8" w:space="0" w:color="000000"/>
            </w:tcBorders>
            <w:shd w:val="clear" w:color="auto" w:fill="auto"/>
            <w:noWrap/>
            <w:vAlign w:val="center"/>
            <w:hideMark/>
          </w:tcPr>
          <w:p w:rsidR="005B2599" w:rsidRPr="005B2599" w:rsidRDefault="005B2599" w:rsidP="005B2599">
            <w:pPr>
              <w:spacing w:after="0" w:line="240" w:lineRule="auto"/>
              <w:jc w:val="center"/>
              <w:rPr>
                <w:rFonts w:ascii="Calibri" w:eastAsia="Times New Roman" w:hAnsi="Calibri" w:cs="Calibri"/>
                <w:color w:val="000000"/>
                <w:lang w:eastAsia="es-MX"/>
              </w:rPr>
            </w:pPr>
            <w:r w:rsidRPr="005B2599">
              <w:rPr>
                <w:rFonts w:ascii="Calibri" w:eastAsia="Times New Roman" w:hAnsi="Calibri" w:cs="Calibri"/>
                <w:color w:val="000000"/>
                <w:lang w:eastAsia="es-MX"/>
              </w:rPr>
              <w:t>I TRIMESTRE 2017</w:t>
            </w:r>
          </w:p>
        </w:tc>
      </w:tr>
      <w:tr w:rsidR="005B2599" w:rsidRPr="005B2599" w:rsidTr="005B2599">
        <w:trPr>
          <w:trHeight w:val="305"/>
        </w:trPr>
        <w:tc>
          <w:tcPr>
            <w:tcW w:w="2813" w:type="dxa"/>
            <w:tcBorders>
              <w:top w:val="nil"/>
              <w:left w:val="single" w:sz="8" w:space="0" w:color="auto"/>
              <w:bottom w:val="nil"/>
              <w:right w:val="nil"/>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 </w:t>
            </w:r>
          </w:p>
        </w:tc>
        <w:tc>
          <w:tcPr>
            <w:tcW w:w="2596" w:type="dxa"/>
            <w:tcBorders>
              <w:top w:val="nil"/>
              <w:left w:val="single" w:sz="8" w:space="0" w:color="auto"/>
              <w:bottom w:val="nil"/>
              <w:right w:val="single" w:sz="8" w:space="0" w:color="auto"/>
            </w:tcBorders>
            <w:shd w:val="clear" w:color="auto" w:fill="auto"/>
            <w:noWrap/>
            <w:vAlign w:val="center"/>
            <w:hideMark/>
          </w:tcPr>
          <w:p w:rsidR="005B2599" w:rsidRPr="005B2599" w:rsidRDefault="005B2599" w:rsidP="005B2599">
            <w:pPr>
              <w:spacing w:after="0" w:line="240" w:lineRule="auto"/>
              <w:jc w:val="center"/>
              <w:rPr>
                <w:rFonts w:ascii="Calibri" w:eastAsia="Times New Roman" w:hAnsi="Calibri" w:cs="Calibri"/>
                <w:color w:val="000000"/>
                <w:lang w:eastAsia="es-MX"/>
              </w:rPr>
            </w:pPr>
            <w:r w:rsidRPr="005B2599">
              <w:rPr>
                <w:rFonts w:ascii="Calibri" w:eastAsia="Times New Roman" w:hAnsi="Calibri" w:cs="Calibri"/>
                <w:color w:val="000000"/>
                <w:lang w:eastAsia="es-MX"/>
              </w:rPr>
              <w:t>IMPORTE</w:t>
            </w:r>
          </w:p>
        </w:tc>
        <w:tc>
          <w:tcPr>
            <w:tcW w:w="573" w:type="dxa"/>
            <w:tcBorders>
              <w:top w:val="nil"/>
              <w:left w:val="nil"/>
              <w:bottom w:val="nil"/>
              <w:right w:val="single" w:sz="8" w:space="0" w:color="auto"/>
            </w:tcBorders>
            <w:shd w:val="clear" w:color="auto" w:fill="auto"/>
            <w:noWrap/>
            <w:vAlign w:val="center"/>
            <w:hideMark/>
          </w:tcPr>
          <w:p w:rsidR="005B2599" w:rsidRPr="005B2599" w:rsidRDefault="005B2599" w:rsidP="005B2599">
            <w:pPr>
              <w:spacing w:after="0" w:line="240" w:lineRule="auto"/>
              <w:jc w:val="center"/>
              <w:rPr>
                <w:rFonts w:ascii="Calibri" w:eastAsia="Times New Roman" w:hAnsi="Calibri" w:cs="Calibri"/>
                <w:color w:val="000000"/>
                <w:lang w:eastAsia="es-MX"/>
              </w:rPr>
            </w:pPr>
            <w:r w:rsidRPr="005B2599">
              <w:rPr>
                <w:rFonts w:ascii="Calibri" w:eastAsia="Times New Roman" w:hAnsi="Calibri" w:cs="Calibri"/>
                <w:color w:val="000000"/>
                <w:lang w:eastAsia="es-MX"/>
              </w:rPr>
              <w:t>%</w:t>
            </w:r>
          </w:p>
        </w:tc>
        <w:tc>
          <w:tcPr>
            <w:tcW w:w="2287" w:type="dxa"/>
            <w:tcBorders>
              <w:top w:val="nil"/>
              <w:left w:val="nil"/>
              <w:bottom w:val="nil"/>
              <w:right w:val="single" w:sz="8" w:space="0" w:color="auto"/>
            </w:tcBorders>
            <w:shd w:val="clear" w:color="auto" w:fill="auto"/>
            <w:noWrap/>
            <w:vAlign w:val="center"/>
            <w:hideMark/>
          </w:tcPr>
          <w:p w:rsidR="005B2599" w:rsidRPr="005B2599" w:rsidRDefault="005B2599" w:rsidP="005B2599">
            <w:pPr>
              <w:spacing w:after="0" w:line="240" w:lineRule="auto"/>
              <w:jc w:val="center"/>
              <w:rPr>
                <w:rFonts w:ascii="Calibri" w:eastAsia="Times New Roman" w:hAnsi="Calibri" w:cs="Calibri"/>
                <w:color w:val="000000"/>
                <w:lang w:eastAsia="es-MX"/>
              </w:rPr>
            </w:pPr>
            <w:r w:rsidRPr="005B2599">
              <w:rPr>
                <w:rFonts w:ascii="Calibri" w:eastAsia="Times New Roman" w:hAnsi="Calibri" w:cs="Calibri"/>
                <w:color w:val="000000"/>
                <w:lang w:eastAsia="es-MX"/>
              </w:rPr>
              <w:t>IMPORTE</w:t>
            </w:r>
          </w:p>
        </w:tc>
        <w:tc>
          <w:tcPr>
            <w:tcW w:w="573" w:type="dxa"/>
            <w:tcBorders>
              <w:top w:val="nil"/>
              <w:left w:val="nil"/>
              <w:bottom w:val="nil"/>
              <w:right w:val="single" w:sz="8" w:space="0" w:color="auto"/>
            </w:tcBorders>
            <w:shd w:val="clear" w:color="auto" w:fill="auto"/>
            <w:noWrap/>
            <w:vAlign w:val="center"/>
            <w:hideMark/>
          </w:tcPr>
          <w:p w:rsidR="005B2599" w:rsidRPr="005B2599" w:rsidRDefault="005B2599" w:rsidP="005B2599">
            <w:pPr>
              <w:spacing w:after="0" w:line="240" w:lineRule="auto"/>
              <w:jc w:val="center"/>
              <w:rPr>
                <w:rFonts w:ascii="Calibri" w:eastAsia="Times New Roman" w:hAnsi="Calibri" w:cs="Calibri"/>
                <w:color w:val="000000"/>
                <w:lang w:eastAsia="es-MX"/>
              </w:rPr>
            </w:pPr>
            <w:r w:rsidRPr="005B2599">
              <w:rPr>
                <w:rFonts w:ascii="Calibri" w:eastAsia="Times New Roman" w:hAnsi="Calibri" w:cs="Calibri"/>
                <w:color w:val="000000"/>
                <w:lang w:eastAsia="es-MX"/>
              </w:rPr>
              <w:t>%</w:t>
            </w:r>
          </w:p>
        </w:tc>
      </w:tr>
      <w:tr w:rsidR="005B2599" w:rsidRPr="005B2599" w:rsidTr="005B2599">
        <w:trPr>
          <w:trHeight w:val="305"/>
        </w:trPr>
        <w:tc>
          <w:tcPr>
            <w:tcW w:w="28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Impuestos Federales Retenidos</w:t>
            </w:r>
          </w:p>
        </w:tc>
        <w:tc>
          <w:tcPr>
            <w:tcW w:w="2596" w:type="dxa"/>
            <w:tcBorders>
              <w:top w:val="single" w:sz="4" w:space="0" w:color="auto"/>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180,803.00</w:t>
            </w:r>
          </w:p>
        </w:tc>
        <w:tc>
          <w:tcPr>
            <w:tcW w:w="573" w:type="dxa"/>
            <w:tcBorders>
              <w:top w:val="single" w:sz="4" w:space="0" w:color="auto"/>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7%</w:t>
            </w:r>
          </w:p>
        </w:tc>
        <w:tc>
          <w:tcPr>
            <w:tcW w:w="2287" w:type="dxa"/>
            <w:tcBorders>
              <w:top w:val="single" w:sz="4" w:space="0" w:color="auto"/>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254,096.00</w:t>
            </w:r>
          </w:p>
        </w:tc>
        <w:tc>
          <w:tcPr>
            <w:tcW w:w="573" w:type="dxa"/>
            <w:tcBorders>
              <w:top w:val="single" w:sz="4" w:space="0" w:color="auto"/>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15%</w:t>
            </w:r>
          </w:p>
        </w:tc>
      </w:tr>
      <w:tr w:rsidR="005B2599" w:rsidRPr="005B2599" w:rsidTr="005B2599">
        <w:trPr>
          <w:trHeight w:val="305"/>
        </w:trPr>
        <w:tc>
          <w:tcPr>
            <w:tcW w:w="2813" w:type="dxa"/>
            <w:tcBorders>
              <w:top w:val="nil"/>
              <w:left w:val="single" w:sz="4" w:space="0" w:color="auto"/>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Otros Impuestos y Contribuciones</w:t>
            </w:r>
          </w:p>
        </w:tc>
        <w:tc>
          <w:tcPr>
            <w:tcW w:w="2596"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1,538,548.00</w:t>
            </w:r>
          </w:p>
        </w:tc>
        <w:tc>
          <w:tcPr>
            <w:tcW w:w="573"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57%</w:t>
            </w:r>
          </w:p>
        </w:tc>
        <w:tc>
          <w:tcPr>
            <w:tcW w:w="2287"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690,136.25</w:t>
            </w:r>
          </w:p>
        </w:tc>
        <w:tc>
          <w:tcPr>
            <w:tcW w:w="573"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60%</w:t>
            </w:r>
          </w:p>
        </w:tc>
      </w:tr>
      <w:tr w:rsidR="005B2599" w:rsidRPr="005B2599" w:rsidTr="005B2599">
        <w:trPr>
          <w:trHeight w:val="305"/>
        </w:trPr>
        <w:tc>
          <w:tcPr>
            <w:tcW w:w="2813" w:type="dxa"/>
            <w:tcBorders>
              <w:top w:val="nil"/>
              <w:left w:val="single" w:sz="4" w:space="0" w:color="auto"/>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Aportaciones de seguridad social</w:t>
            </w:r>
          </w:p>
        </w:tc>
        <w:tc>
          <w:tcPr>
            <w:tcW w:w="2596"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890,109.20</w:t>
            </w:r>
          </w:p>
        </w:tc>
        <w:tc>
          <w:tcPr>
            <w:tcW w:w="573"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33%</w:t>
            </w:r>
          </w:p>
        </w:tc>
        <w:tc>
          <w:tcPr>
            <w:tcW w:w="2287"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5,419.39</w:t>
            </w:r>
          </w:p>
        </w:tc>
        <w:tc>
          <w:tcPr>
            <w:tcW w:w="573"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10%</w:t>
            </w:r>
          </w:p>
        </w:tc>
      </w:tr>
      <w:tr w:rsidR="005B2599" w:rsidRPr="005B2599" w:rsidTr="005B2599">
        <w:trPr>
          <w:trHeight w:val="305"/>
        </w:trPr>
        <w:tc>
          <w:tcPr>
            <w:tcW w:w="2813" w:type="dxa"/>
            <w:tcBorders>
              <w:top w:val="nil"/>
              <w:left w:val="single" w:sz="4" w:space="0" w:color="auto"/>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Retenciones Fonacot</w:t>
            </w:r>
          </w:p>
        </w:tc>
        <w:tc>
          <w:tcPr>
            <w:tcW w:w="2596"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82,317.41</w:t>
            </w:r>
          </w:p>
        </w:tc>
        <w:tc>
          <w:tcPr>
            <w:tcW w:w="573"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3%</w:t>
            </w:r>
          </w:p>
        </w:tc>
        <w:tc>
          <w:tcPr>
            <w:tcW w:w="2287"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111,880.03</w:t>
            </w:r>
          </w:p>
        </w:tc>
        <w:tc>
          <w:tcPr>
            <w:tcW w:w="573"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5%</w:t>
            </w:r>
          </w:p>
        </w:tc>
      </w:tr>
      <w:tr w:rsidR="005B2599" w:rsidRPr="005B2599" w:rsidTr="005B2599">
        <w:trPr>
          <w:trHeight w:val="305"/>
        </w:trPr>
        <w:tc>
          <w:tcPr>
            <w:tcW w:w="2813" w:type="dxa"/>
            <w:tcBorders>
              <w:top w:val="nil"/>
              <w:left w:val="single" w:sz="4" w:space="0" w:color="auto"/>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Retenciones Infonavit</w:t>
            </w:r>
          </w:p>
        </w:tc>
        <w:tc>
          <w:tcPr>
            <w:tcW w:w="2596"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3,991.76</w:t>
            </w:r>
          </w:p>
        </w:tc>
        <w:tc>
          <w:tcPr>
            <w:tcW w:w="573"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0%</w:t>
            </w:r>
          </w:p>
        </w:tc>
        <w:tc>
          <w:tcPr>
            <w:tcW w:w="2287"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202,695.07</w:t>
            </w:r>
          </w:p>
        </w:tc>
        <w:tc>
          <w:tcPr>
            <w:tcW w:w="573"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10%</w:t>
            </w:r>
          </w:p>
        </w:tc>
      </w:tr>
      <w:tr w:rsidR="005B2599" w:rsidRPr="005B2599" w:rsidTr="005B2599">
        <w:trPr>
          <w:trHeight w:val="305"/>
        </w:trPr>
        <w:tc>
          <w:tcPr>
            <w:tcW w:w="2813" w:type="dxa"/>
            <w:tcBorders>
              <w:top w:val="nil"/>
              <w:left w:val="single" w:sz="4" w:space="0" w:color="auto"/>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 </w:t>
            </w:r>
          </w:p>
        </w:tc>
        <w:tc>
          <w:tcPr>
            <w:tcW w:w="2596"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w:t>
            </w:r>
          </w:p>
        </w:tc>
        <w:tc>
          <w:tcPr>
            <w:tcW w:w="573" w:type="dxa"/>
            <w:tcBorders>
              <w:top w:val="nil"/>
              <w:left w:val="nil"/>
              <w:bottom w:val="single" w:sz="4" w:space="0" w:color="auto"/>
              <w:right w:val="single" w:sz="4" w:space="0" w:color="auto"/>
            </w:tcBorders>
            <w:shd w:val="clear" w:color="auto" w:fill="auto"/>
            <w:noWrap/>
            <w:vAlign w:val="bottom"/>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 </w:t>
            </w:r>
          </w:p>
        </w:tc>
        <w:tc>
          <w:tcPr>
            <w:tcW w:w="2287"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w:t>
            </w:r>
          </w:p>
        </w:tc>
        <w:tc>
          <w:tcPr>
            <w:tcW w:w="573" w:type="dxa"/>
            <w:tcBorders>
              <w:top w:val="nil"/>
              <w:left w:val="nil"/>
              <w:bottom w:val="single" w:sz="4" w:space="0" w:color="auto"/>
              <w:right w:val="single" w:sz="4" w:space="0" w:color="auto"/>
            </w:tcBorders>
            <w:shd w:val="clear" w:color="auto" w:fill="auto"/>
            <w:noWrap/>
            <w:vAlign w:val="bottom"/>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 </w:t>
            </w:r>
          </w:p>
        </w:tc>
      </w:tr>
      <w:tr w:rsidR="005B2599" w:rsidRPr="005B2599" w:rsidTr="005B2599">
        <w:trPr>
          <w:trHeight w:val="305"/>
        </w:trPr>
        <w:tc>
          <w:tcPr>
            <w:tcW w:w="2813" w:type="dxa"/>
            <w:tcBorders>
              <w:top w:val="nil"/>
              <w:left w:val="single" w:sz="4" w:space="0" w:color="auto"/>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TOTAL</w:t>
            </w:r>
          </w:p>
        </w:tc>
        <w:tc>
          <w:tcPr>
            <w:tcW w:w="2596"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2,695,769.37</w:t>
            </w:r>
          </w:p>
        </w:tc>
        <w:tc>
          <w:tcPr>
            <w:tcW w:w="573"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100%</w:t>
            </w:r>
          </w:p>
        </w:tc>
        <w:tc>
          <w:tcPr>
            <w:tcW w:w="2287"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1,264,226.74</w:t>
            </w:r>
          </w:p>
        </w:tc>
        <w:tc>
          <w:tcPr>
            <w:tcW w:w="573"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jc w:val="right"/>
              <w:rPr>
                <w:rFonts w:ascii="Calibri" w:eastAsia="Times New Roman" w:hAnsi="Calibri" w:cs="Calibri"/>
                <w:color w:val="000000"/>
                <w:lang w:eastAsia="es-MX"/>
              </w:rPr>
            </w:pPr>
            <w:r w:rsidRPr="005B2599">
              <w:rPr>
                <w:rFonts w:ascii="Calibri" w:eastAsia="Times New Roman" w:hAnsi="Calibri" w:cs="Calibri"/>
                <w:color w:val="000000"/>
                <w:lang w:eastAsia="es-MX"/>
              </w:rPr>
              <w:t>100%</w:t>
            </w:r>
          </w:p>
        </w:tc>
      </w:tr>
      <w:tr w:rsidR="005B2599" w:rsidRPr="005B2599" w:rsidTr="005B2599">
        <w:trPr>
          <w:trHeight w:val="305"/>
        </w:trPr>
        <w:tc>
          <w:tcPr>
            <w:tcW w:w="2813" w:type="dxa"/>
            <w:tcBorders>
              <w:top w:val="nil"/>
              <w:left w:val="single" w:sz="4" w:space="0" w:color="auto"/>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 </w:t>
            </w:r>
          </w:p>
        </w:tc>
        <w:tc>
          <w:tcPr>
            <w:tcW w:w="2596"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w:t>
            </w:r>
          </w:p>
        </w:tc>
        <w:tc>
          <w:tcPr>
            <w:tcW w:w="573"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 </w:t>
            </w:r>
          </w:p>
        </w:tc>
        <w:tc>
          <w:tcPr>
            <w:tcW w:w="2287"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w:t>
            </w:r>
          </w:p>
        </w:tc>
        <w:tc>
          <w:tcPr>
            <w:tcW w:w="573" w:type="dxa"/>
            <w:tcBorders>
              <w:top w:val="nil"/>
              <w:left w:val="nil"/>
              <w:bottom w:val="single" w:sz="4" w:space="0" w:color="auto"/>
              <w:right w:val="single" w:sz="4" w:space="0" w:color="auto"/>
            </w:tcBorders>
            <w:shd w:val="clear" w:color="auto" w:fill="auto"/>
            <w:noWrap/>
            <w:vAlign w:val="center"/>
            <w:hideMark/>
          </w:tcPr>
          <w:p w:rsidR="005B2599" w:rsidRPr="005B2599" w:rsidRDefault="005B2599" w:rsidP="005B2599">
            <w:pPr>
              <w:spacing w:after="0" w:line="240" w:lineRule="auto"/>
              <w:rPr>
                <w:rFonts w:ascii="Calibri" w:eastAsia="Times New Roman" w:hAnsi="Calibri" w:cs="Calibri"/>
                <w:color w:val="000000"/>
                <w:lang w:eastAsia="es-MX"/>
              </w:rPr>
            </w:pPr>
            <w:r w:rsidRPr="005B2599">
              <w:rPr>
                <w:rFonts w:ascii="Calibri" w:eastAsia="Times New Roman" w:hAnsi="Calibri" w:cs="Calibri"/>
                <w:color w:val="000000"/>
                <w:lang w:eastAsia="es-MX"/>
              </w:rPr>
              <w:t> </w:t>
            </w:r>
          </w:p>
        </w:tc>
      </w:tr>
    </w:tbl>
    <w:p w:rsidR="00E11095" w:rsidRDefault="00E11095" w:rsidP="00855DFC">
      <w:pPr>
        <w:jc w:val="both"/>
      </w:pPr>
    </w:p>
    <w:p w:rsidR="00D32941" w:rsidRDefault="00D32941" w:rsidP="00855DFC">
      <w:pPr>
        <w:jc w:val="both"/>
      </w:pPr>
      <w:r>
        <w:t>El Saldo de impuestos federales retenidos al 3</w:t>
      </w:r>
      <w:r w:rsidR="009A46CD">
        <w:t>0</w:t>
      </w:r>
      <w:r>
        <w:t xml:space="preserve"> de </w:t>
      </w:r>
      <w:r w:rsidR="009A46CD">
        <w:t>Junio</w:t>
      </w:r>
      <w:r w:rsidR="00511624">
        <w:t xml:space="preserve"> 2017</w:t>
      </w:r>
      <w:r>
        <w:t xml:space="preserve"> </w:t>
      </w:r>
      <w:r w:rsidR="001F7D28">
        <w:t xml:space="preserve"> Se </w:t>
      </w:r>
      <w:r w:rsidR="00CF3272">
        <w:t xml:space="preserve">pagaron el día 17 de </w:t>
      </w:r>
      <w:r w:rsidR="009A46CD">
        <w:t>Julio</w:t>
      </w:r>
      <w:r w:rsidR="00CF3272">
        <w:t xml:space="preserve"> del año en curso</w:t>
      </w:r>
      <w:r w:rsidR="001F7D28">
        <w:t xml:space="preserve"> mientras que el saldo al </w:t>
      </w:r>
      <w:r>
        <w:t>3</w:t>
      </w:r>
      <w:r w:rsidR="00511624">
        <w:t>1</w:t>
      </w:r>
      <w:r>
        <w:t xml:space="preserve"> de </w:t>
      </w:r>
      <w:r w:rsidR="009A46CD">
        <w:t>Marzo</w:t>
      </w:r>
      <w:r>
        <w:t xml:space="preserve"> </w:t>
      </w:r>
      <w:r w:rsidR="001F7D28">
        <w:t>201</w:t>
      </w:r>
      <w:r w:rsidR="00511624">
        <w:t>7</w:t>
      </w:r>
      <w:r w:rsidR="005B4DEE">
        <w:t>, se pagó</w:t>
      </w:r>
      <w:r>
        <w:t xml:space="preserve"> en </w:t>
      </w:r>
      <w:r w:rsidR="005B4DEE">
        <w:t>el</w:t>
      </w:r>
      <w:r w:rsidR="00521C7B">
        <w:t xml:space="preserve"> mes de </w:t>
      </w:r>
      <w:r w:rsidR="009A46CD">
        <w:t>Abril</w:t>
      </w:r>
      <w:r w:rsidR="005B4DEE">
        <w:t xml:space="preserve"> </w:t>
      </w:r>
      <w:r w:rsidR="001F7D28">
        <w:t>201</w:t>
      </w:r>
      <w:r w:rsidR="00511624">
        <w:t>7</w:t>
      </w:r>
      <w:r w:rsidR="005B4DEE">
        <w:t xml:space="preserve"> respectivamente</w:t>
      </w:r>
      <w:r w:rsidR="001F7D28">
        <w:t>.</w:t>
      </w:r>
    </w:p>
    <w:p w:rsidR="00D32941" w:rsidRDefault="00D32941" w:rsidP="00855DFC">
      <w:pPr>
        <w:jc w:val="both"/>
      </w:pPr>
      <w:r>
        <w:t>A 3</w:t>
      </w:r>
      <w:r w:rsidR="00CF3272">
        <w:t>1</w:t>
      </w:r>
      <w:r>
        <w:t xml:space="preserve"> d</w:t>
      </w:r>
      <w:r w:rsidR="001F7D28">
        <w:t>e</w:t>
      </w:r>
      <w:r>
        <w:t xml:space="preserve"> </w:t>
      </w:r>
      <w:r w:rsidR="009A46CD">
        <w:t>Marzo</w:t>
      </w:r>
      <w:r w:rsidR="00511624">
        <w:t xml:space="preserve"> 210</w:t>
      </w:r>
      <w:r w:rsidR="009A46CD">
        <w:t>7</w:t>
      </w:r>
      <w:r w:rsidR="009A0802">
        <w:t xml:space="preserve"> y 3</w:t>
      </w:r>
      <w:r w:rsidR="009A46CD">
        <w:t>0</w:t>
      </w:r>
      <w:r w:rsidR="00511624">
        <w:t xml:space="preserve"> de </w:t>
      </w:r>
      <w:r w:rsidR="009A46CD">
        <w:t>Junio</w:t>
      </w:r>
      <w:r w:rsidR="00511624">
        <w:t xml:space="preserve"> 2017</w:t>
      </w:r>
      <w:r>
        <w:t xml:space="preserve">  respectivamente corresponden a las cuotas obrero patronales del IM</w:t>
      </w:r>
      <w:r w:rsidR="00701F98">
        <w:t>S</w:t>
      </w:r>
      <w:r>
        <w:t>S e INFONAVIT, las cuales fueron pagadas en</w:t>
      </w:r>
      <w:r w:rsidR="001F7D28">
        <w:t xml:space="preserve"> </w:t>
      </w:r>
      <w:r w:rsidR="009A46CD">
        <w:t>Abril</w:t>
      </w:r>
      <w:r w:rsidR="001F7D28">
        <w:t xml:space="preserve"> 20</w:t>
      </w:r>
      <w:r w:rsidR="00511624">
        <w:t>17</w:t>
      </w:r>
      <w:r w:rsidR="001F7D28">
        <w:t xml:space="preserve"> </w:t>
      </w:r>
      <w:r w:rsidR="00CF3272">
        <w:t xml:space="preserve">y </w:t>
      </w:r>
      <w:r w:rsidR="009A46CD">
        <w:t>julio</w:t>
      </w:r>
      <w:r w:rsidR="00CF3272">
        <w:t xml:space="preserve"> 2017</w:t>
      </w:r>
      <w:r w:rsidR="009A0802">
        <w:t xml:space="preserve"> </w:t>
      </w:r>
      <w:r>
        <w:t>, sin que existan saldos antiguos a cargo por dicho concepto</w:t>
      </w:r>
    </w:p>
    <w:p w:rsidR="00855DFC" w:rsidRDefault="00855DFC" w:rsidP="00855DFC">
      <w:pPr>
        <w:jc w:val="both"/>
      </w:pPr>
    </w:p>
    <w:p w:rsidR="00D32941" w:rsidRDefault="00D32941" w:rsidP="00855DFC">
      <w:pPr>
        <w:jc w:val="both"/>
      </w:pPr>
      <w:r>
        <w:t>Nota 8. SERVICIOS PENDIENTES DE COBRO.</w:t>
      </w:r>
    </w:p>
    <w:p w:rsidR="00D32941" w:rsidRDefault="00D32941" w:rsidP="00BD48A3">
      <w:r>
        <w:t xml:space="preserve">Al </w:t>
      </w:r>
      <w:r w:rsidR="009A0802">
        <w:t>3</w:t>
      </w:r>
      <w:r w:rsidR="00A02D1A">
        <w:t>0</w:t>
      </w:r>
      <w:r>
        <w:t xml:space="preserve"> de </w:t>
      </w:r>
      <w:r w:rsidR="00A02D1A">
        <w:t>Junio</w:t>
      </w:r>
      <w:r w:rsidR="005B4DEE">
        <w:t xml:space="preserve"> </w:t>
      </w:r>
      <w:r>
        <w:t xml:space="preserve"> 201</w:t>
      </w:r>
      <w:r w:rsidR="00A02D1A">
        <w:t>7</w:t>
      </w:r>
      <w:r>
        <w:t xml:space="preserve"> el saldo de la cuenta de “servicios pendientes de cobro” es la contracuenta de “Deudores por servicios” y su saldo representa el saldo no cobrado en el ejercicio (Nota 2)</w:t>
      </w:r>
    </w:p>
    <w:p w:rsidR="00E11095" w:rsidRDefault="00E11095" w:rsidP="00BD48A3"/>
    <w:p w:rsidR="00E11095" w:rsidRDefault="00E11095" w:rsidP="00BD48A3"/>
    <w:p w:rsidR="00E11095" w:rsidRDefault="00E11095" w:rsidP="00BD48A3"/>
    <w:p w:rsidR="00E11095" w:rsidRDefault="00E11095" w:rsidP="00BD48A3"/>
    <w:p w:rsidR="00E11095" w:rsidRDefault="00E11095" w:rsidP="00BD48A3"/>
    <w:p w:rsidR="00E11095" w:rsidRDefault="00E11095" w:rsidP="00BD48A3"/>
    <w:p w:rsidR="00511624" w:rsidRDefault="00511624" w:rsidP="00BD48A3"/>
    <w:p w:rsidR="00511624" w:rsidRDefault="00511624" w:rsidP="00BD48A3"/>
    <w:p w:rsidR="00D32941" w:rsidRDefault="00D32941" w:rsidP="00BD48A3">
      <w:r>
        <w:lastRenderedPageBreak/>
        <w:t>NOTA 9. PRESTAMOS Y DOCUMENTOS POR PAGAR A LARGO PLAZO</w:t>
      </w:r>
    </w:p>
    <w:p w:rsidR="00573121" w:rsidRDefault="00D32941" w:rsidP="00BD48A3">
      <w:r>
        <w:t xml:space="preserve">Al </w:t>
      </w:r>
      <w:r w:rsidR="00701F98">
        <w:t xml:space="preserve"> </w:t>
      </w:r>
      <w:r w:rsidR="005B4DEE">
        <w:t xml:space="preserve"> </w:t>
      </w:r>
      <w:r w:rsidR="00A02D1A">
        <w:t>Segundo</w:t>
      </w:r>
      <w:r w:rsidR="00701F98">
        <w:t xml:space="preserve"> Trimestre</w:t>
      </w:r>
      <w:r>
        <w:t xml:space="preserve"> 201</w:t>
      </w:r>
      <w:r w:rsidR="008F0262">
        <w:t>7 y primer Trimestre 2017</w:t>
      </w:r>
      <w:r>
        <w:t xml:space="preserve">  se integra como sigue</w:t>
      </w:r>
    </w:p>
    <w:tbl>
      <w:tblPr>
        <w:tblW w:w="8880" w:type="dxa"/>
        <w:tblInd w:w="-10" w:type="dxa"/>
        <w:tblCellMar>
          <w:left w:w="70" w:type="dxa"/>
          <w:right w:w="70" w:type="dxa"/>
        </w:tblCellMar>
        <w:tblLook w:val="04A0" w:firstRow="1" w:lastRow="0" w:firstColumn="1" w:lastColumn="0" w:noHBand="0" w:noVBand="1"/>
      </w:tblPr>
      <w:tblGrid>
        <w:gridCol w:w="5680"/>
        <w:gridCol w:w="1720"/>
        <w:gridCol w:w="1480"/>
      </w:tblGrid>
      <w:tr w:rsidR="00573121" w:rsidRPr="00573121" w:rsidTr="00573121">
        <w:trPr>
          <w:trHeight w:val="300"/>
        </w:trPr>
        <w:tc>
          <w:tcPr>
            <w:tcW w:w="5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73121" w:rsidRPr="00573121" w:rsidRDefault="00573121" w:rsidP="00573121">
            <w:pPr>
              <w:spacing w:after="0" w:line="240" w:lineRule="auto"/>
              <w:jc w:val="center"/>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CONCEPTO</w:t>
            </w:r>
          </w:p>
        </w:tc>
        <w:tc>
          <w:tcPr>
            <w:tcW w:w="17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73121" w:rsidRPr="00573121" w:rsidRDefault="00A02D1A" w:rsidP="00573121">
            <w:pPr>
              <w:spacing w:after="0" w:line="240" w:lineRule="auto"/>
              <w:jc w:val="center"/>
              <w:rPr>
                <w:rFonts w:ascii="Calibri" w:eastAsia="Times New Roman" w:hAnsi="Calibri" w:cs="Times New Roman"/>
                <w:color w:val="000000"/>
                <w:lang w:eastAsia="es-MX"/>
              </w:rPr>
            </w:pPr>
            <w:r>
              <w:rPr>
                <w:rFonts w:ascii="Calibri" w:eastAsia="Times New Roman" w:hAnsi="Calibri" w:cs="Times New Roman"/>
                <w:color w:val="000000"/>
                <w:lang w:eastAsia="es-MX"/>
              </w:rPr>
              <w:t>JUNIO</w:t>
            </w:r>
            <w:r w:rsidR="008F0262">
              <w:rPr>
                <w:rFonts w:ascii="Calibri" w:eastAsia="Times New Roman" w:hAnsi="Calibri" w:cs="Times New Roman"/>
                <w:color w:val="000000"/>
                <w:lang w:eastAsia="es-MX"/>
              </w:rPr>
              <w:t xml:space="preserve"> 2017</w:t>
            </w:r>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73121" w:rsidRPr="00573121" w:rsidRDefault="00A02D1A" w:rsidP="008F0262">
            <w:pPr>
              <w:spacing w:after="0" w:line="240" w:lineRule="auto"/>
              <w:jc w:val="center"/>
              <w:rPr>
                <w:rFonts w:ascii="Calibri" w:eastAsia="Times New Roman" w:hAnsi="Calibri" w:cs="Times New Roman"/>
                <w:color w:val="000000"/>
                <w:lang w:eastAsia="es-MX"/>
              </w:rPr>
            </w:pPr>
            <w:r>
              <w:rPr>
                <w:rFonts w:ascii="Calibri" w:eastAsia="Times New Roman" w:hAnsi="Calibri" w:cs="Times New Roman"/>
                <w:color w:val="000000"/>
                <w:lang w:eastAsia="es-MX"/>
              </w:rPr>
              <w:t>MARZO 2017</w:t>
            </w:r>
          </w:p>
        </w:tc>
      </w:tr>
      <w:tr w:rsidR="00573121" w:rsidRPr="00573121" w:rsidTr="00573121">
        <w:trPr>
          <w:trHeight w:val="450"/>
        </w:trPr>
        <w:tc>
          <w:tcPr>
            <w:tcW w:w="5680" w:type="dxa"/>
            <w:vMerge/>
            <w:tcBorders>
              <w:top w:val="single" w:sz="8" w:space="0" w:color="auto"/>
              <w:left w:val="single" w:sz="8" w:space="0" w:color="auto"/>
              <w:bottom w:val="single" w:sz="8" w:space="0" w:color="000000"/>
              <w:right w:val="single" w:sz="8" w:space="0" w:color="auto"/>
            </w:tcBorders>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p>
        </w:tc>
        <w:tc>
          <w:tcPr>
            <w:tcW w:w="1720" w:type="dxa"/>
            <w:vMerge/>
            <w:tcBorders>
              <w:top w:val="single" w:sz="8" w:space="0" w:color="auto"/>
              <w:left w:val="single" w:sz="8" w:space="0" w:color="auto"/>
              <w:bottom w:val="single" w:sz="8" w:space="0" w:color="000000"/>
              <w:right w:val="single" w:sz="8" w:space="0" w:color="auto"/>
            </w:tcBorders>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p>
        </w:tc>
      </w:tr>
      <w:tr w:rsidR="00573121" w:rsidRPr="00573121" w:rsidTr="00573121">
        <w:trPr>
          <w:trHeight w:val="300"/>
        </w:trPr>
        <w:tc>
          <w:tcPr>
            <w:tcW w:w="5680" w:type="dxa"/>
            <w:tcBorders>
              <w:top w:val="nil"/>
              <w:left w:val="single" w:sz="8" w:space="0" w:color="auto"/>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Pasivo a Largo Plazo:</w:t>
            </w:r>
          </w:p>
        </w:tc>
        <w:tc>
          <w:tcPr>
            <w:tcW w:w="172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c>
          <w:tcPr>
            <w:tcW w:w="148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r>
      <w:tr w:rsidR="00573121" w:rsidRPr="00573121" w:rsidTr="00573121">
        <w:trPr>
          <w:trHeight w:val="300"/>
        </w:trPr>
        <w:tc>
          <w:tcPr>
            <w:tcW w:w="5680" w:type="dxa"/>
            <w:tcBorders>
              <w:top w:val="nil"/>
              <w:left w:val="single" w:sz="8" w:space="0" w:color="auto"/>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Fideicomiso # F/405622-2 "Fideicomiso Fondo</w:t>
            </w:r>
          </w:p>
        </w:tc>
        <w:tc>
          <w:tcPr>
            <w:tcW w:w="172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c>
          <w:tcPr>
            <w:tcW w:w="148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r>
      <w:tr w:rsidR="00573121" w:rsidRPr="00573121" w:rsidTr="00573121">
        <w:trPr>
          <w:trHeight w:val="300"/>
        </w:trPr>
        <w:tc>
          <w:tcPr>
            <w:tcW w:w="5680" w:type="dxa"/>
            <w:tcBorders>
              <w:top w:val="nil"/>
              <w:left w:val="single" w:sz="8" w:space="0" w:color="auto"/>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Revolvente Sonora"</w:t>
            </w:r>
          </w:p>
        </w:tc>
        <w:tc>
          <w:tcPr>
            <w:tcW w:w="172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c>
          <w:tcPr>
            <w:tcW w:w="148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r>
      <w:tr w:rsidR="00573121" w:rsidRPr="00573121" w:rsidTr="00573121">
        <w:trPr>
          <w:trHeight w:val="300"/>
        </w:trPr>
        <w:tc>
          <w:tcPr>
            <w:tcW w:w="5680" w:type="dxa"/>
            <w:tcBorders>
              <w:top w:val="nil"/>
              <w:left w:val="single" w:sz="8" w:space="0" w:color="auto"/>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Contrato de responsabilidad solidaria y subrogacion de</w:t>
            </w:r>
          </w:p>
        </w:tc>
        <w:tc>
          <w:tcPr>
            <w:tcW w:w="172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c>
          <w:tcPr>
            <w:tcW w:w="148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r>
      <w:tr w:rsidR="00573121" w:rsidRPr="00573121" w:rsidTr="00573121">
        <w:trPr>
          <w:trHeight w:val="300"/>
        </w:trPr>
        <w:tc>
          <w:tcPr>
            <w:tcW w:w="5680" w:type="dxa"/>
            <w:tcBorders>
              <w:top w:val="nil"/>
              <w:left w:val="single" w:sz="8" w:space="0" w:color="auto"/>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Obligaciones por un importe de $ 3,000,000.00 celebrado el</w:t>
            </w:r>
          </w:p>
        </w:tc>
        <w:tc>
          <w:tcPr>
            <w:tcW w:w="172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c>
          <w:tcPr>
            <w:tcW w:w="148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r>
      <w:tr w:rsidR="00573121" w:rsidRPr="00573121" w:rsidTr="00573121">
        <w:trPr>
          <w:trHeight w:val="300"/>
        </w:trPr>
        <w:tc>
          <w:tcPr>
            <w:tcW w:w="5680" w:type="dxa"/>
            <w:tcBorders>
              <w:top w:val="nil"/>
              <w:left w:val="single" w:sz="8" w:space="0" w:color="auto"/>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06 de Septiembre de 2012 con vencimientos mensuales</w:t>
            </w:r>
          </w:p>
        </w:tc>
        <w:tc>
          <w:tcPr>
            <w:tcW w:w="172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c>
          <w:tcPr>
            <w:tcW w:w="148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r>
      <w:tr w:rsidR="00573121" w:rsidRPr="00573121" w:rsidTr="00573121">
        <w:trPr>
          <w:trHeight w:val="300"/>
        </w:trPr>
        <w:tc>
          <w:tcPr>
            <w:tcW w:w="5680" w:type="dxa"/>
            <w:tcBorders>
              <w:top w:val="nil"/>
              <w:left w:val="single" w:sz="8" w:space="0" w:color="auto"/>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hasta Septiembre 2015, devengando intereses a</w:t>
            </w:r>
          </w:p>
        </w:tc>
        <w:tc>
          <w:tcPr>
            <w:tcW w:w="172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jc w:val="center"/>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c>
          <w:tcPr>
            <w:tcW w:w="148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jc w:val="center"/>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r>
      <w:tr w:rsidR="00573121" w:rsidRPr="00573121" w:rsidTr="00573121">
        <w:trPr>
          <w:trHeight w:val="300"/>
        </w:trPr>
        <w:tc>
          <w:tcPr>
            <w:tcW w:w="5680" w:type="dxa"/>
            <w:tcBorders>
              <w:top w:val="nil"/>
              <w:left w:val="single" w:sz="8" w:space="0" w:color="auto"/>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la tasa variable de TIIE a 28 dias.</w:t>
            </w:r>
          </w:p>
        </w:tc>
        <w:tc>
          <w:tcPr>
            <w:tcW w:w="172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jc w:val="center"/>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166,666.00</w:t>
            </w:r>
          </w:p>
        </w:tc>
        <w:tc>
          <w:tcPr>
            <w:tcW w:w="148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jc w:val="center"/>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166,666.00</w:t>
            </w:r>
          </w:p>
        </w:tc>
      </w:tr>
      <w:tr w:rsidR="00573121" w:rsidRPr="00573121" w:rsidTr="00573121">
        <w:trPr>
          <w:trHeight w:val="300"/>
        </w:trPr>
        <w:tc>
          <w:tcPr>
            <w:tcW w:w="5680" w:type="dxa"/>
            <w:tcBorders>
              <w:top w:val="nil"/>
              <w:left w:val="single" w:sz="8" w:space="0" w:color="auto"/>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xml:space="preserve">Menos: </w:t>
            </w:r>
          </w:p>
        </w:tc>
        <w:tc>
          <w:tcPr>
            <w:tcW w:w="172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jc w:val="center"/>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c>
          <w:tcPr>
            <w:tcW w:w="148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jc w:val="center"/>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r>
      <w:tr w:rsidR="00573121" w:rsidRPr="00573121" w:rsidTr="00573121">
        <w:trPr>
          <w:trHeight w:val="300"/>
        </w:trPr>
        <w:tc>
          <w:tcPr>
            <w:tcW w:w="5680" w:type="dxa"/>
            <w:tcBorders>
              <w:top w:val="nil"/>
              <w:left w:val="single" w:sz="8" w:space="0" w:color="auto"/>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Vencimiento a un año del pasivo a largo plazo</w:t>
            </w:r>
          </w:p>
        </w:tc>
        <w:tc>
          <w:tcPr>
            <w:tcW w:w="172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jc w:val="center"/>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166,666.00</w:t>
            </w:r>
          </w:p>
        </w:tc>
        <w:tc>
          <w:tcPr>
            <w:tcW w:w="148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jc w:val="center"/>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166,666.00</w:t>
            </w:r>
          </w:p>
        </w:tc>
      </w:tr>
      <w:tr w:rsidR="00573121" w:rsidRPr="00573121" w:rsidTr="00573121">
        <w:trPr>
          <w:trHeight w:val="300"/>
        </w:trPr>
        <w:tc>
          <w:tcPr>
            <w:tcW w:w="5680" w:type="dxa"/>
            <w:tcBorders>
              <w:top w:val="nil"/>
              <w:left w:val="single" w:sz="8" w:space="0" w:color="auto"/>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Total</w:t>
            </w:r>
          </w:p>
        </w:tc>
        <w:tc>
          <w:tcPr>
            <w:tcW w:w="172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xml:space="preserve">                          -   </w:t>
            </w:r>
          </w:p>
        </w:tc>
        <w:tc>
          <w:tcPr>
            <w:tcW w:w="1480" w:type="dxa"/>
            <w:tcBorders>
              <w:top w:val="nil"/>
              <w:left w:val="nil"/>
              <w:bottom w:val="nil"/>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xml:space="preserve">                          -   </w:t>
            </w:r>
          </w:p>
        </w:tc>
      </w:tr>
      <w:tr w:rsidR="00573121" w:rsidRPr="00573121" w:rsidTr="00573121">
        <w:trPr>
          <w:trHeight w:val="315"/>
        </w:trPr>
        <w:tc>
          <w:tcPr>
            <w:tcW w:w="5680" w:type="dxa"/>
            <w:tcBorders>
              <w:top w:val="nil"/>
              <w:left w:val="single" w:sz="8" w:space="0" w:color="auto"/>
              <w:bottom w:val="single" w:sz="8" w:space="0" w:color="auto"/>
              <w:right w:val="single" w:sz="8" w:space="0" w:color="auto"/>
            </w:tcBorders>
            <w:shd w:val="clear" w:color="auto" w:fill="auto"/>
            <w:noWrap/>
            <w:vAlign w:val="center"/>
            <w:hideMark/>
          </w:tcPr>
          <w:p w:rsidR="00573121" w:rsidRPr="00573121" w:rsidRDefault="00573121" w:rsidP="00573121">
            <w:pPr>
              <w:spacing w:after="0" w:line="240" w:lineRule="auto"/>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 </w:t>
            </w:r>
          </w:p>
        </w:tc>
        <w:tc>
          <w:tcPr>
            <w:tcW w:w="1720" w:type="dxa"/>
            <w:tcBorders>
              <w:top w:val="nil"/>
              <w:left w:val="nil"/>
              <w:bottom w:val="single" w:sz="8" w:space="0" w:color="auto"/>
              <w:right w:val="single" w:sz="8" w:space="0" w:color="auto"/>
            </w:tcBorders>
            <w:shd w:val="clear" w:color="auto" w:fill="auto"/>
            <w:noWrap/>
            <w:vAlign w:val="center"/>
            <w:hideMark/>
          </w:tcPr>
          <w:p w:rsidR="00573121" w:rsidRPr="00573121" w:rsidRDefault="00573121" w:rsidP="00573121">
            <w:pPr>
              <w:spacing w:after="0" w:line="240" w:lineRule="auto"/>
              <w:jc w:val="center"/>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w:t>
            </w:r>
          </w:p>
        </w:tc>
        <w:tc>
          <w:tcPr>
            <w:tcW w:w="1480" w:type="dxa"/>
            <w:tcBorders>
              <w:top w:val="nil"/>
              <w:left w:val="nil"/>
              <w:bottom w:val="single" w:sz="8" w:space="0" w:color="auto"/>
              <w:right w:val="single" w:sz="8" w:space="0" w:color="auto"/>
            </w:tcBorders>
            <w:shd w:val="clear" w:color="auto" w:fill="auto"/>
            <w:noWrap/>
            <w:vAlign w:val="center"/>
            <w:hideMark/>
          </w:tcPr>
          <w:p w:rsidR="00573121" w:rsidRPr="00573121" w:rsidRDefault="00573121" w:rsidP="00573121">
            <w:pPr>
              <w:spacing w:after="0" w:line="240" w:lineRule="auto"/>
              <w:jc w:val="center"/>
              <w:rPr>
                <w:rFonts w:ascii="Calibri" w:eastAsia="Times New Roman" w:hAnsi="Calibri" w:cs="Times New Roman"/>
                <w:color w:val="000000"/>
                <w:lang w:eastAsia="es-MX"/>
              </w:rPr>
            </w:pPr>
            <w:r w:rsidRPr="00573121">
              <w:rPr>
                <w:rFonts w:ascii="Calibri" w:eastAsia="Times New Roman" w:hAnsi="Calibri" w:cs="Times New Roman"/>
                <w:color w:val="000000"/>
                <w:lang w:eastAsia="es-MX"/>
              </w:rPr>
              <w:t>==========</w:t>
            </w:r>
          </w:p>
        </w:tc>
      </w:tr>
    </w:tbl>
    <w:p w:rsidR="002C5FE7" w:rsidRDefault="002C5FE7" w:rsidP="00BD48A3">
      <w:r>
        <w:tab/>
      </w:r>
    </w:p>
    <w:p w:rsidR="005B5B39" w:rsidRDefault="00404863" w:rsidP="00E43DFF">
      <w:r>
        <w:t xml:space="preserve">Los recursos de éste crédito </w:t>
      </w:r>
      <w:r w:rsidR="009A0802">
        <w:t>fueron</w:t>
      </w:r>
      <w:r>
        <w:t xml:space="preserve"> utilizados para la const de planta de tratamiento Y griega. Oomapas como obligado solidario, asume con el Municipio la obligación de realizar todos los pagos de principal m</w:t>
      </w:r>
      <w:r w:rsidR="001F3F77">
        <w:t>á</w:t>
      </w:r>
      <w:r>
        <w:t>s intereses.</w:t>
      </w:r>
    </w:p>
    <w:p w:rsidR="00B13F75" w:rsidRDefault="00B13F75" w:rsidP="00E43DFF"/>
    <w:p w:rsidR="00404863" w:rsidRDefault="00404863" w:rsidP="00E43DFF">
      <w:r>
        <w:t>NOTA 10. PASIVO CONTINGENTE</w:t>
      </w:r>
    </w:p>
    <w:p w:rsidR="00404863" w:rsidRDefault="00404863" w:rsidP="00404863">
      <w:pPr>
        <w:pStyle w:val="Prrafodelista"/>
        <w:numPr>
          <w:ilvl w:val="0"/>
          <w:numId w:val="6"/>
        </w:numPr>
      </w:pPr>
      <w:r>
        <w:t>Obligaciones Solidarias.</w:t>
      </w:r>
    </w:p>
    <w:p w:rsidR="00404863" w:rsidRDefault="00404863" w:rsidP="00404863">
      <w:r>
        <w:t>Existe una responsabilidad contingente por primas de antigüedad e indemnización que tendrán que pagarse al personal en caso de retiro involuntario bajo ciertas circunstancias de acuerdo a la LFT sin embrago al 3</w:t>
      </w:r>
      <w:r w:rsidR="00C14F78">
        <w:t>0</w:t>
      </w:r>
      <w:r w:rsidR="000E285A">
        <w:t xml:space="preserve"> de </w:t>
      </w:r>
      <w:r w:rsidR="00C14F78">
        <w:t>Junio</w:t>
      </w:r>
      <w:r w:rsidR="000E285A">
        <w:t xml:space="preserve"> 2</w:t>
      </w:r>
      <w:r>
        <w:t>01</w:t>
      </w:r>
      <w:r w:rsidR="008F0262">
        <w:t>7</w:t>
      </w:r>
      <w:r w:rsidR="00153AA5">
        <w:t xml:space="preserve">  no hay obligaciones definidas.</w:t>
      </w:r>
    </w:p>
    <w:p w:rsidR="00404863" w:rsidRDefault="00404863" w:rsidP="00404863">
      <w:pPr>
        <w:pStyle w:val="Prrafodelista"/>
        <w:numPr>
          <w:ilvl w:val="0"/>
          <w:numId w:val="6"/>
        </w:numPr>
      </w:pPr>
      <w:r>
        <w:t>Contingencia Fiscal</w:t>
      </w:r>
    </w:p>
    <w:p w:rsidR="00404863" w:rsidRDefault="00404863" w:rsidP="00404863">
      <w:r>
        <w:t>De acuerdo con la legislación fiscal vigente, las autoridades tienen la facultad de revisión hasta 5 ejercicios fiscales anteriores.</w:t>
      </w:r>
    </w:p>
    <w:p w:rsidR="00735A18" w:rsidRDefault="00735A18" w:rsidP="00404863"/>
    <w:p w:rsidR="000E285A" w:rsidRDefault="000E285A" w:rsidP="00404863"/>
    <w:p w:rsidR="000E285A" w:rsidRDefault="000E285A" w:rsidP="00404863"/>
    <w:p w:rsidR="000E285A" w:rsidRDefault="000E285A" w:rsidP="00404863"/>
    <w:p w:rsidR="00E11095" w:rsidRDefault="00E11095" w:rsidP="008F0262">
      <w:pPr>
        <w:pStyle w:val="Prrafodelista"/>
      </w:pPr>
    </w:p>
    <w:p w:rsidR="00404863" w:rsidRDefault="00735A18" w:rsidP="00735A18">
      <w:pPr>
        <w:pStyle w:val="Prrafodelista"/>
        <w:numPr>
          <w:ilvl w:val="0"/>
          <w:numId w:val="4"/>
        </w:numPr>
      </w:pPr>
      <w:r>
        <w:t>NOTAS AL ESTADO DE VARIACIONES DE LA HACIENDA PUBLICA PATRIMONIO SE INTEGRA DE LA SIG MANERA:</w:t>
      </w:r>
    </w:p>
    <w:p w:rsidR="001B6F09" w:rsidRDefault="001B6F09" w:rsidP="001B6F09">
      <w:r>
        <w:t>NOTA 11. INTEGRACION DE LA HACIENDA PUBLICA/PATRIMONIO</w:t>
      </w:r>
    </w:p>
    <w:p w:rsidR="001B6F09" w:rsidRDefault="001B6F09" w:rsidP="001B6F09">
      <w:r>
        <w:t>Al 3</w:t>
      </w:r>
      <w:r w:rsidR="00695B02">
        <w:t>0</w:t>
      </w:r>
      <w:r>
        <w:t xml:space="preserve"> de </w:t>
      </w:r>
      <w:r w:rsidR="00695B02">
        <w:t>Junio</w:t>
      </w:r>
      <w:r w:rsidR="005B0283">
        <w:t xml:space="preserve"> </w:t>
      </w:r>
      <w:r w:rsidR="00153AA5">
        <w:t xml:space="preserve"> </w:t>
      </w:r>
      <w:r>
        <w:t xml:space="preserve"> de 201</w:t>
      </w:r>
      <w:r w:rsidR="008F0262">
        <w:t>7</w:t>
      </w:r>
      <w:r>
        <w:t xml:space="preserve">  la Hacienda Pública/Patrimonio se integra de la siguiente manera:</w:t>
      </w:r>
    </w:p>
    <w:tbl>
      <w:tblPr>
        <w:tblW w:w="6680" w:type="dxa"/>
        <w:tblInd w:w="-10" w:type="dxa"/>
        <w:tblCellMar>
          <w:left w:w="70" w:type="dxa"/>
          <w:right w:w="70" w:type="dxa"/>
        </w:tblCellMar>
        <w:tblLook w:val="04A0" w:firstRow="1" w:lastRow="0" w:firstColumn="1" w:lastColumn="0" w:noHBand="0" w:noVBand="1"/>
      </w:tblPr>
      <w:tblGrid>
        <w:gridCol w:w="3340"/>
        <w:gridCol w:w="2860"/>
        <w:gridCol w:w="1236"/>
      </w:tblGrid>
      <w:tr w:rsidR="00F07A6D" w:rsidRPr="00F07A6D" w:rsidTr="00F07A6D">
        <w:trPr>
          <w:trHeight w:val="315"/>
        </w:trPr>
        <w:tc>
          <w:tcPr>
            <w:tcW w:w="3340" w:type="dxa"/>
            <w:vMerge w:val="restart"/>
            <w:tcBorders>
              <w:top w:val="single" w:sz="8" w:space="0" w:color="auto"/>
              <w:left w:val="single" w:sz="8" w:space="0" w:color="auto"/>
              <w:bottom w:val="nil"/>
              <w:right w:val="single" w:sz="8" w:space="0" w:color="auto"/>
            </w:tcBorders>
            <w:shd w:val="clear" w:color="auto" w:fill="auto"/>
            <w:vAlign w:val="center"/>
            <w:hideMark/>
          </w:tcPr>
          <w:p w:rsidR="00F07A6D" w:rsidRPr="00F07A6D" w:rsidRDefault="00F07A6D" w:rsidP="00F07A6D">
            <w:pPr>
              <w:spacing w:after="0" w:line="240" w:lineRule="auto"/>
              <w:jc w:val="center"/>
              <w:rPr>
                <w:rFonts w:ascii="Calibri" w:eastAsia="Times New Roman" w:hAnsi="Calibri" w:cs="Calibri"/>
                <w:color w:val="000000"/>
                <w:lang w:eastAsia="es-MX"/>
              </w:rPr>
            </w:pPr>
            <w:r w:rsidRPr="00F07A6D">
              <w:rPr>
                <w:rFonts w:ascii="Calibri" w:eastAsia="Times New Roman" w:hAnsi="Calibri" w:cs="Calibri"/>
                <w:color w:val="000000"/>
                <w:lang w:eastAsia="es-MX"/>
              </w:rPr>
              <w:t>CONCEPTO</w:t>
            </w:r>
          </w:p>
        </w:tc>
        <w:tc>
          <w:tcPr>
            <w:tcW w:w="334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07A6D" w:rsidRPr="00F07A6D" w:rsidRDefault="00F07A6D" w:rsidP="00F07A6D">
            <w:pPr>
              <w:spacing w:after="0" w:line="240" w:lineRule="auto"/>
              <w:jc w:val="center"/>
              <w:rPr>
                <w:rFonts w:ascii="Calibri" w:eastAsia="Times New Roman" w:hAnsi="Calibri" w:cs="Calibri"/>
                <w:color w:val="000000"/>
                <w:lang w:eastAsia="es-MX"/>
              </w:rPr>
            </w:pPr>
            <w:r w:rsidRPr="00F07A6D">
              <w:rPr>
                <w:rFonts w:ascii="Calibri" w:eastAsia="Times New Roman" w:hAnsi="Calibri" w:cs="Calibri"/>
                <w:color w:val="000000"/>
                <w:lang w:eastAsia="es-MX"/>
              </w:rPr>
              <w:t>JUNIO</w:t>
            </w:r>
          </w:p>
        </w:tc>
      </w:tr>
      <w:tr w:rsidR="00F07A6D" w:rsidRPr="00F07A6D" w:rsidTr="00F07A6D">
        <w:trPr>
          <w:trHeight w:val="300"/>
        </w:trPr>
        <w:tc>
          <w:tcPr>
            <w:tcW w:w="3340" w:type="dxa"/>
            <w:vMerge/>
            <w:tcBorders>
              <w:top w:val="single" w:sz="8" w:space="0" w:color="auto"/>
              <w:left w:val="single" w:sz="8" w:space="0" w:color="auto"/>
              <w:bottom w:val="nil"/>
              <w:right w:val="single" w:sz="8" w:space="0" w:color="auto"/>
            </w:tcBorders>
            <w:vAlign w:val="center"/>
            <w:hideMark/>
          </w:tcPr>
          <w:p w:rsidR="00F07A6D" w:rsidRPr="00F07A6D" w:rsidRDefault="00F07A6D" w:rsidP="00F07A6D">
            <w:pPr>
              <w:spacing w:after="0" w:line="240" w:lineRule="auto"/>
              <w:rPr>
                <w:rFonts w:ascii="Calibri" w:eastAsia="Times New Roman" w:hAnsi="Calibri" w:cs="Calibri"/>
                <w:color w:val="000000"/>
                <w:lang w:eastAsia="es-MX"/>
              </w:rPr>
            </w:pPr>
          </w:p>
        </w:tc>
        <w:tc>
          <w:tcPr>
            <w:tcW w:w="2860" w:type="dxa"/>
            <w:tcBorders>
              <w:top w:val="nil"/>
              <w:left w:val="nil"/>
              <w:bottom w:val="nil"/>
              <w:right w:val="single" w:sz="8" w:space="0" w:color="auto"/>
            </w:tcBorders>
            <w:shd w:val="clear" w:color="auto" w:fill="auto"/>
            <w:noWrap/>
            <w:vAlign w:val="center"/>
            <w:hideMark/>
          </w:tcPr>
          <w:p w:rsidR="00F07A6D" w:rsidRPr="00F07A6D" w:rsidRDefault="00F07A6D" w:rsidP="00F07A6D">
            <w:pPr>
              <w:spacing w:after="0" w:line="240" w:lineRule="auto"/>
              <w:jc w:val="center"/>
              <w:rPr>
                <w:rFonts w:ascii="Calibri" w:eastAsia="Times New Roman" w:hAnsi="Calibri" w:cs="Calibri"/>
                <w:color w:val="000000"/>
                <w:lang w:eastAsia="es-MX"/>
              </w:rPr>
            </w:pPr>
            <w:r w:rsidRPr="00F07A6D">
              <w:rPr>
                <w:rFonts w:ascii="Calibri" w:eastAsia="Times New Roman" w:hAnsi="Calibri" w:cs="Calibri"/>
                <w:color w:val="000000"/>
                <w:lang w:eastAsia="es-MX"/>
              </w:rPr>
              <w:t>IMPORTE</w:t>
            </w:r>
          </w:p>
        </w:tc>
        <w:tc>
          <w:tcPr>
            <w:tcW w:w="480" w:type="dxa"/>
            <w:tcBorders>
              <w:top w:val="nil"/>
              <w:left w:val="nil"/>
              <w:bottom w:val="nil"/>
              <w:right w:val="single" w:sz="8" w:space="0" w:color="auto"/>
            </w:tcBorders>
            <w:shd w:val="clear" w:color="auto" w:fill="auto"/>
            <w:noWrap/>
            <w:vAlign w:val="center"/>
            <w:hideMark/>
          </w:tcPr>
          <w:p w:rsidR="00F07A6D" w:rsidRPr="00F07A6D" w:rsidRDefault="00F07A6D" w:rsidP="00F07A6D">
            <w:pPr>
              <w:spacing w:after="0" w:line="240" w:lineRule="auto"/>
              <w:jc w:val="center"/>
              <w:rPr>
                <w:rFonts w:ascii="Calibri" w:eastAsia="Times New Roman" w:hAnsi="Calibri" w:cs="Calibri"/>
                <w:color w:val="000000"/>
                <w:lang w:eastAsia="es-MX"/>
              </w:rPr>
            </w:pPr>
            <w:r w:rsidRPr="00F07A6D">
              <w:rPr>
                <w:rFonts w:ascii="Calibri" w:eastAsia="Times New Roman" w:hAnsi="Calibri" w:cs="Calibri"/>
                <w:color w:val="000000"/>
                <w:lang w:eastAsia="es-MX"/>
              </w:rPr>
              <w:t>%</w:t>
            </w:r>
          </w:p>
        </w:tc>
      </w:tr>
      <w:tr w:rsidR="00F07A6D" w:rsidRPr="00F07A6D" w:rsidTr="00F07A6D">
        <w:trPr>
          <w:trHeight w:val="300"/>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rPr>
                <w:rFonts w:ascii="Calibri" w:eastAsia="Times New Roman" w:hAnsi="Calibri" w:cs="Calibri"/>
                <w:color w:val="000000"/>
                <w:lang w:eastAsia="es-MX"/>
              </w:rPr>
            </w:pPr>
            <w:r w:rsidRPr="00F07A6D">
              <w:rPr>
                <w:rFonts w:ascii="Calibri" w:eastAsia="Times New Roman" w:hAnsi="Calibri" w:cs="Calibri"/>
                <w:color w:val="000000"/>
                <w:lang w:eastAsia="es-MX"/>
              </w:rPr>
              <w:t>Patrimonio Social</w:t>
            </w:r>
          </w:p>
        </w:tc>
        <w:tc>
          <w:tcPr>
            <w:tcW w:w="2860" w:type="dxa"/>
            <w:tcBorders>
              <w:top w:val="single" w:sz="4" w:space="0" w:color="auto"/>
              <w:left w:val="nil"/>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jc w:val="right"/>
              <w:rPr>
                <w:rFonts w:ascii="Calibri" w:eastAsia="Times New Roman" w:hAnsi="Calibri" w:cs="Calibri"/>
                <w:color w:val="000000"/>
                <w:lang w:eastAsia="es-MX"/>
              </w:rPr>
            </w:pPr>
            <w:r w:rsidRPr="00F07A6D">
              <w:rPr>
                <w:rFonts w:ascii="Calibri" w:eastAsia="Times New Roman" w:hAnsi="Calibri" w:cs="Calibri"/>
                <w:color w:val="000000"/>
                <w:lang w:eastAsia="es-MX"/>
              </w:rPr>
              <w:t>28,135,822.49</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jc w:val="right"/>
              <w:rPr>
                <w:rFonts w:ascii="Calibri" w:eastAsia="Times New Roman" w:hAnsi="Calibri" w:cs="Calibri"/>
                <w:color w:val="000000"/>
                <w:lang w:eastAsia="es-MX"/>
              </w:rPr>
            </w:pPr>
            <w:r w:rsidRPr="00F07A6D">
              <w:rPr>
                <w:rFonts w:ascii="Calibri" w:eastAsia="Times New Roman" w:hAnsi="Calibri" w:cs="Calibri"/>
                <w:color w:val="000000"/>
                <w:lang w:eastAsia="es-MX"/>
              </w:rPr>
              <w:t>118%</w:t>
            </w:r>
          </w:p>
        </w:tc>
      </w:tr>
      <w:tr w:rsidR="00F07A6D" w:rsidRPr="00F07A6D" w:rsidTr="00F07A6D">
        <w:trPr>
          <w:trHeight w:val="300"/>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rPr>
                <w:rFonts w:ascii="Calibri" w:eastAsia="Times New Roman" w:hAnsi="Calibri" w:cs="Calibri"/>
                <w:color w:val="000000"/>
                <w:lang w:eastAsia="es-MX"/>
              </w:rPr>
            </w:pPr>
            <w:r w:rsidRPr="00F07A6D">
              <w:rPr>
                <w:rFonts w:ascii="Calibri" w:eastAsia="Times New Roman" w:hAnsi="Calibri" w:cs="Calibri"/>
                <w:color w:val="000000"/>
                <w:lang w:eastAsia="es-MX"/>
              </w:rPr>
              <w:t>Resultado de Ejercicios Anteriores</w:t>
            </w:r>
          </w:p>
        </w:tc>
        <w:tc>
          <w:tcPr>
            <w:tcW w:w="2860" w:type="dxa"/>
            <w:tcBorders>
              <w:top w:val="nil"/>
              <w:left w:val="nil"/>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jc w:val="right"/>
              <w:rPr>
                <w:rFonts w:ascii="Calibri" w:eastAsia="Times New Roman" w:hAnsi="Calibri" w:cs="Calibri"/>
                <w:color w:val="000000"/>
                <w:lang w:eastAsia="es-MX"/>
              </w:rPr>
            </w:pPr>
            <w:r w:rsidRPr="00F07A6D">
              <w:rPr>
                <w:rFonts w:ascii="Calibri" w:eastAsia="Times New Roman" w:hAnsi="Calibri" w:cs="Calibri"/>
                <w:color w:val="000000"/>
                <w:lang w:eastAsia="es-MX"/>
              </w:rPr>
              <w:t xml:space="preserve">-      4,396,756.20 </w:t>
            </w:r>
          </w:p>
        </w:tc>
        <w:tc>
          <w:tcPr>
            <w:tcW w:w="480" w:type="dxa"/>
            <w:tcBorders>
              <w:top w:val="nil"/>
              <w:left w:val="nil"/>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jc w:val="right"/>
              <w:rPr>
                <w:rFonts w:ascii="Calibri" w:eastAsia="Times New Roman" w:hAnsi="Calibri" w:cs="Calibri"/>
                <w:color w:val="000000"/>
                <w:lang w:eastAsia="es-MX"/>
              </w:rPr>
            </w:pPr>
            <w:r w:rsidRPr="00F07A6D">
              <w:rPr>
                <w:rFonts w:ascii="Calibri" w:eastAsia="Times New Roman" w:hAnsi="Calibri" w:cs="Calibri"/>
                <w:color w:val="000000"/>
                <w:lang w:eastAsia="es-MX"/>
              </w:rPr>
              <w:t>-18%</w:t>
            </w:r>
          </w:p>
        </w:tc>
      </w:tr>
      <w:tr w:rsidR="00F07A6D" w:rsidRPr="00F07A6D" w:rsidTr="00F07A6D">
        <w:trPr>
          <w:trHeight w:val="300"/>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rPr>
                <w:rFonts w:ascii="Calibri" w:eastAsia="Times New Roman" w:hAnsi="Calibri" w:cs="Calibri"/>
                <w:color w:val="000000"/>
                <w:lang w:eastAsia="es-MX"/>
              </w:rPr>
            </w:pPr>
            <w:r w:rsidRPr="00F07A6D">
              <w:rPr>
                <w:rFonts w:ascii="Calibri" w:eastAsia="Times New Roman" w:hAnsi="Calibri" w:cs="Calibri"/>
                <w:color w:val="000000"/>
                <w:lang w:eastAsia="es-MX"/>
              </w:rPr>
              <w:t>Desahorro neto del ejercicio</w:t>
            </w:r>
          </w:p>
        </w:tc>
        <w:tc>
          <w:tcPr>
            <w:tcW w:w="2860" w:type="dxa"/>
            <w:tcBorders>
              <w:top w:val="nil"/>
              <w:left w:val="nil"/>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jc w:val="right"/>
              <w:rPr>
                <w:rFonts w:ascii="Calibri" w:eastAsia="Times New Roman" w:hAnsi="Calibri" w:cs="Calibri"/>
                <w:color w:val="000000"/>
                <w:lang w:eastAsia="es-MX"/>
              </w:rPr>
            </w:pPr>
            <w:r w:rsidRPr="00F07A6D">
              <w:rPr>
                <w:rFonts w:ascii="Calibri" w:eastAsia="Times New Roman" w:hAnsi="Calibri" w:cs="Calibri"/>
                <w:color w:val="000000"/>
                <w:lang w:eastAsia="es-MX"/>
              </w:rPr>
              <w:t xml:space="preserve">              29,475.69 </w:t>
            </w:r>
          </w:p>
        </w:tc>
        <w:tc>
          <w:tcPr>
            <w:tcW w:w="480" w:type="dxa"/>
            <w:tcBorders>
              <w:top w:val="nil"/>
              <w:left w:val="nil"/>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jc w:val="right"/>
              <w:rPr>
                <w:rFonts w:ascii="Calibri" w:eastAsia="Times New Roman" w:hAnsi="Calibri" w:cs="Calibri"/>
                <w:color w:val="000000"/>
                <w:lang w:eastAsia="es-MX"/>
              </w:rPr>
            </w:pPr>
            <w:r w:rsidRPr="00F07A6D">
              <w:rPr>
                <w:rFonts w:ascii="Calibri" w:eastAsia="Times New Roman" w:hAnsi="Calibri" w:cs="Calibri"/>
                <w:color w:val="000000"/>
                <w:lang w:eastAsia="es-MX"/>
              </w:rPr>
              <w:t>0%</w:t>
            </w:r>
          </w:p>
        </w:tc>
      </w:tr>
      <w:tr w:rsidR="00F07A6D" w:rsidRPr="00F07A6D" w:rsidTr="00F07A6D">
        <w:trPr>
          <w:trHeight w:val="300"/>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rPr>
                <w:rFonts w:ascii="Calibri" w:eastAsia="Times New Roman" w:hAnsi="Calibri" w:cs="Calibri"/>
                <w:color w:val="000000"/>
                <w:lang w:eastAsia="es-MX"/>
              </w:rPr>
            </w:pPr>
            <w:r w:rsidRPr="00F07A6D">
              <w:rPr>
                <w:rFonts w:ascii="Calibri" w:eastAsia="Times New Roman" w:hAnsi="Calibri" w:cs="Calibri"/>
                <w:color w:val="000000"/>
                <w:lang w:eastAsia="es-MX"/>
              </w:rPr>
              <w:t> </w:t>
            </w:r>
          </w:p>
        </w:tc>
        <w:tc>
          <w:tcPr>
            <w:tcW w:w="2860" w:type="dxa"/>
            <w:tcBorders>
              <w:top w:val="nil"/>
              <w:left w:val="nil"/>
              <w:bottom w:val="single" w:sz="4" w:space="0" w:color="auto"/>
              <w:right w:val="single" w:sz="4" w:space="0" w:color="auto"/>
            </w:tcBorders>
            <w:shd w:val="clear" w:color="auto" w:fill="auto"/>
            <w:noWrap/>
            <w:vAlign w:val="bottom"/>
            <w:hideMark/>
          </w:tcPr>
          <w:p w:rsidR="00F07A6D" w:rsidRPr="00F07A6D" w:rsidRDefault="00F07A6D" w:rsidP="00F07A6D">
            <w:pPr>
              <w:spacing w:after="0" w:line="240" w:lineRule="auto"/>
              <w:rPr>
                <w:rFonts w:ascii="Calibri" w:eastAsia="Times New Roman" w:hAnsi="Calibri" w:cs="Calibri"/>
                <w:color w:val="000000"/>
                <w:lang w:eastAsia="es-MX"/>
              </w:rPr>
            </w:pPr>
            <w:r w:rsidRPr="00F07A6D">
              <w:rPr>
                <w:rFonts w:ascii="Calibri" w:eastAsia="Times New Roman" w:hAnsi="Calibri" w:cs="Calibri"/>
                <w:color w:val="000000"/>
                <w:lang w:eastAsia="es-MX"/>
              </w:rPr>
              <w:t> </w:t>
            </w:r>
          </w:p>
        </w:tc>
        <w:tc>
          <w:tcPr>
            <w:tcW w:w="480" w:type="dxa"/>
            <w:tcBorders>
              <w:top w:val="nil"/>
              <w:left w:val="nil"/>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rPr>
                <w:rFonts w:ascii="Calibri" w:eastAsia="Times New Roman" w:hAnsi="Calibri" w:cs="Calibri"/>
                <w:color w:val="000000"/>
                <w:lang w:eastAsia="es-MX"/>
              </w:rPr>
            </w:pPr>
            <w:r w:rsidRPr="00F07A6D">
              <w:rPr>
                <w:rFonts w:ascii="Calibri" w:eastAsia="Times New Roman" w:hAnsi="Calibri" w:cs="Calibri"/>
                <w:color w:val="000000"/>
                <w:lang w:eastAsia="es-MX"/>
              </w:rPr>
              <w:t> </w:t>
            </w:r>
          </w:p>
        </w:tc>
      </w:tr>
      <w:tr w:rsidR="00F07A6D" w:rsidRPr="00F07A6D" w:rsidTr="00F07A6D">
        <w:trPr>
          <w:trHeight w:val="300"/>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rPr>
                <w:rFonts w:ascii="Calibri" w:eastAsia="Times New Roman" w:hAnsi="Calibri" w:cs="Calibri"/>
                <w:color w:val="000000"/>
                <w:lang w:eastAsia="es-MX"/>
              </w:rPr>
            </w:pPr>
            <w:r w:rsidRPr="00F07A6D">
              <w:rPr>
                <w:rFonts w:ascii="Calibri" w:eastAsia="Times New Roman" w:hAnsi="Calibri" w:cs="Calibri"/>
                <w:color w:val="000000"/>
                <w:lang w:eastAsia="es-MX"/>
              </w:rPr>
              <w:t> </w:t>
            </w:r>
          </w:p>
        </w:tc>
        <w:tc>
          <w:tcPr>
            <w:tcW w:w="2860" w:type="dxa"/>
            <w:tcBorders>
              <w:top w:val="nil"/>
              <w:left w:val="nil"/>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rPr>
                <w:rFonts w:ascii="Calibri" w:eastAsia="Times New Roman" w:hAnsi="Calibri" w:cs="Calibri"/>
                <w:color w:val="000000"/>
                <w:lang w:eastAsia="es-MX"/>
              </w:rPr>
            </w:pPr>
            <w:r w:rsidRPr="00F07A6D">
              <w:rPr>
                <w:rFonts w:ascii="Calibri" w:eastAsia="Times New Roman" w:hAnsi="Calibri" w:cs="Calibri"/>
                <w:color w:val="000000"/>
                <w:lang w:eastAsia="es-MX"/>
              </w:rPr>
              <w:t>------------------</w:t>
            </w:r>
          </w:p>
        </w:tc>
        <w:tc>
          <w:tcPr>
            <w:tcW w:w="480" w:type="dxa"/>
            <w:tcBorders>
              <w:top w:val="nil"/>
              <w:left w:val="nil"/>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rPr>
                <w:rFonts w:ascii="Calibri" w:eastAsia="Times New Roman" w:hAnsi="Calibri" w:cs="Calibri"/>
                <w:color w:val="000000"/>
                <w:lang w:eastAsia="es-MX"/>
              </w:rPr>
            </w:pPr>
            <w:r w:rsidRPr="00F07A6D">
              <w:rPr>
                <w:rFonts w:ascii="Calibri" w:eastAsia="Times New Roman" w:hAnsi="Calibri" w:cs="Calibri"/>
                <w:color w:val="000000"/>
                <w:lang w:eastAsia="es-MX"/>
              </w:rPr>
              <w:t>--------------</w:t>
            </w:r>
          </w:p>
        </w:tc>
      </w:tr>
      <w:tr w:rsidR="00F07A6D" w:rsidRPr="00F07A6D" w:rsidTr="00F07A6D">
        <w:trPr>
          <w:trHeight w:val="300"/>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rPr>
                <w:rFonts w:ascii="Calibri" w:eastAsia="Times New Roman" w:hAnsi="Calibri" w:cs="Calibri"/>
                <w:color w:val="000000"/>
                <w:lang w:eastAsia="es-MX"/>
              </w:rPr>
            </w:pPr>
            <w:r w:rsidRPr="00F07A6D">
              <w:rPr>
                <w:rFonts w:ascii="Calibri" w:eastAsia="Times New Roman" w:hAnsi="Calibri" w:cs="Calibri"/>
                <w:color w:val="000000"/>
                <w:lang w:eastAsia="es-MX"/>
              </w:rPr>
              <w:t>Total</w:t>
            </w:r>
          </w:p>
        </w:tc>
        <w:tc>
          <w:tcPr>
            <w:tcW w:w="2860" w:type="dxa"/>
            <w:tcBorders>
              <w:top w:val="nil"/>
              <w:left w:val="nil"/>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jc w:val="right"/>
              <w:rPr>
                <w:rFonts w:ascii="Calibri" w:eastAsia="Times New Roman" w:hAnsi="Calibri" w:cs="Calibri"/>
                <w:color w:val="000000"/>
                <w:lang w:eastAsia="es-MX"/>
              </w:rPr>
            </w:pPr>
            <w:r w:rsidRPr="00F07A6D">
              <w:rPr>
                <w:rFonts w:ascii="Calibri" w:eastAsia="Times New Roman" w:hAnsi="Calibri" w:cs="Calibri"/>
                <w:color w:val="000000"/>
                <w:lang w:eastAsia="es-MX"/>
              </w:rPr>
              <w:t>23,768,541.98</w:t>
            </w:r>
          </w:p>
        </w:tc>
        <w:tc>
          <w:tcPr>
            <w:tcW w:w="480" w:type="dxa"/>
            <w:tcBorders>
              <w:top w:val="nil"/>
              <w:left w:val="nil"/>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jc w:val="right"/>
              <w:rPr>
                <w:rFonts w:ascii="Calibri" w:eastAsia="Times New Roman" w:hAnsi="Calibri" w:cs="Calibri"/>
                <w:color w:val="000000"/>
                <w:lang w:eastAsia="es-MX"/>
              </w:rPr>
            </w:pPr>
            <w:r w:rsidRPr="00F07A6D">
              <w:rPr>
                <w:rFonts w:ascii="Calibri" w:eastAsia="Times New Roman" w:hAnsi="Calibri" w:cs="Calibri"/>
                <w:color w:val="000000"/>
                <w:lang w:eastAsia="es-MX"/>
              </w:rPr>
              <w:t>100%</w:t>
            </w:r>
          </w:p>
        </w:tc>
      </w:tr>
      <w:tr w:rsidR="00F07A6D" w:rsidRPr="00F07A6D" w:rsidTr="00F07A6D">
        <w:trPr>
          <w:trHeight w:val="300"/>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rPr>
                <w:rFonts w:ascii="Calibri" w:eastAsia="Times New Roman" w:hAnsi="Calibri" w:cs="Calibri"/>
                <w:color w:val="000000"/>
                <w:lang w:eastAsia="es-MX"/>
              </w:rPr>
            </w:pPr>
            <w:r w:rsidRPr="00F07A6D">
              <w:rPr>
                <w:rFonts w:ascii="Calibri" w:eastAsia="Times New Roman" w:hAnsi="Calibri" w:cs="Calibri"/>
                <w:color w:val="000000"/>
                <w:lang w:eastAsia="es-MX"/>
              </w:rPr>
              <w:t> </w:t>
            </w:r>
          </w:p>
        </w:tc>
        <w:tc>
          <w:tcPr>
            <w:tcW w:w="2860" w:type="dxa"/>
            <w:tcBorders>
              <w:top w:val="nil"/>
              <w:left w:val="nil"/>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rPr>
                <w:rFonts w:ascii="Calibri" w:eastAsia="Times New Roman" w:hAnsi="Calibri" w:cs="Calibri"/>
                <w:color w:val="000000"/>
                <w:lang w:eastAsia="es-MX"/>
              </w:rPr>
            </w:pPr>
            <w:r w:rsidRPr="00F07A6D">
              <w:rPr>
                <w:rFonts w:ascii="Calibri" w:eastAsia="Times New Roman" w:hAnsi="Calibri" w:cs="Calibri"/>
                <w:color w:val="000000"/>
                <w:lang w:eastAsia="es-MX"/>
              </w:rPr>
              <w:t>=============</w:t>
            </w:r>
          </w:p>
        </w:tc>
        <w:tc>
          <w:tcPr>
            <w:tcW w:w="480" w:type="dxa"/>
            <w:tcBorders>
              <w:top w:val="nil"/>
              <w:left w:val="nil"/>
              <w:bottom w:val="single" w:sz="4" w:space="0" w:color="auto"/>
              <w:right w:val="single" w:sz="4" w:space="0" w:color="auto"/>
            </w:tcBorders>
            <w:shd w:val="clear" w:color="auto" w:fill="auto"/>
            <w:noWrap/>
            <w:vAlign w:val="center"/>
            <w:hideMark/>
          </w:tcPr>
          <w:p w:rsidR="00F07A6D" w:rsidRPr="00F07A6D" w:rsidRDefault="00F07A6D" w:rsidP="00F07A6D">
            <w:pPr>
              <w:spacing w:after="0" w:line="240" w:lineRule="auto"/>
              <w:rPr>
                <w:rFonts w:ascii="Calibri" w:eastAsia="Times New Roman" w:hAnsi="Calibri" w:cs="Calibri"/>
                <w:color w:val="000000"/>
                <w:lang w:eastAsia="es-MX"/>
              </w:rPr>
            </w:pPr>
            <w:r w:rsidRPr="00F07A6D">
              <w:rPr>
                <w:rFonts w:ascii="Calibri" w:eastAsia="Times New Roman" w:hAnsi="Calibri" w:cs="Calibri"/>
                <w:color w:val="000000"/>
                <w:lang w:eastAsia="es-MX"/>
              </w:rPr>
              <w:t>==========</w:t>
            </w:r>
          </w:p>
        </w:tc>
      </w:tr>
    </w:tbl>
    <w:p w:rsidR="00735A18" w:rsidRDefault="00735A18" w:rsidP="00735A18"/>
    <w:p w:rsidR="00E066C6" w:rsidRDefault="00E066C6" w:rsidP="00735A18">
      <w:r>
        <w:t>NOTA 12. VARIACIONES EN LA HACIENDA PUBLICA/PATRIMONIO</w:t>
      </w:r>
    </w:p>
    <w:p w:rsidR="00A70A5F" w:rsidRPr="00F07A6D" w:rsidRDefault="00735A18" w:rsidP="001B6F09">
      <w:pPr>
        <w:jc w:val="both"/>
        <w:rPr>
          <w:rFonts w:ascii="Calibri" w:eastAsia="Times New Roman" w:hAnsi="Calibri" w:cs="Calibri"/>
          <w:color w:val="000000"/>
          <w:lang w:eastAsia="es-MX"/>
        </w:rPr>
      </w:pPr>
      <w:r>
        <w:t>En resumen en el periodo</w:t>
      </w:r>
      <w:r w:rsidR="00F07A6D">
        <w:t xml:space="preserve"> I</w:t>
      </w:r>
      <w:r w:rsidR="007C06B6">
        <w:t>I</w:t>
      </w:r>
      <w:r w:rsidR="00241953">
        <w:t xml:space="preserve"> TRIMESTRE</w:t>
      </w:r>
      <w:r>
        <w:t xml:space="preserve"> 201</w:t>
      </w:r>
      <w:r w:rsidR="007C06B6">
        <w:t>7</w:t>
      </w:r>
      <w:r w:rsidR="000413AB">
        <w:t xml:space="preserve"> según el análisis de variaciones en todas las cuentas de la Hacienda Pública/Patrimonio se determinó una </w:t>
      </w:r>
      <w:r w:rsidR="006A4111">
        <w:t xml:space="preserve">aumento </w:t>
      </w:r>
      <w:r w:rsidR="007A4717">
        <w:t>neto</w:t>
      </w:r>
      <w:r w:rsidR="00F07A6D">
        <w:t xml:space="preserve"> de $</w:t>
      </w:r>
      <w:r w:rsidR="00F07A6D">
        <w:rPr>
          <w:rFonts w:ascii="Arial" w:eastAsia="Times New Roman" w:hAnsi="Arial" w:cs="Arial"/>
          <w:color w:val="000000"/>
          <w:sz w:val="16"/>
          <w:szCs w:val="16"/>
          <w:lang w:eastAsia="es-MX"/>
        </w:rPr>
        <w:t xml:space="preserve">  3,477,372.30</w:t>
      </w:r>
      <w:r w:rsidR="007F375F">
        <w:t xml:space="preserve"> </w:t>
      </w:r>
      <w:r w:rsidR="009B2BDD">
        <w:t>el</w:t>
      </w:r>
      <w:r w:rsidR="007F375F">
        <w:t xml:space="preserve"> cual se integra como sigue: </w:t>
      </w:r>
      <w:r w:rsidR="00A70A5F">
        <w:t>a</w:t>
      </w:r>
      <w:r w:rsidR="007F375F">
        <w:t xml:space="preserve">) por un aumento a resultados de ejercicios anteriores originado por </w:t>
      </w:r>
      <w:r w:rsidR="007C06B6">
        <w:t xml:space="preserve">Cancelación de adeudo </w:t>
      </w:r>
      <w:r w:rsidR="00F07A6D">
        <w:t>A CNA programa Agua sin adeudos</w:t>
      </w:r>
      <w:r w:rsidR="00241953">
        <w:t>.</w:t>
      </w:r>
      <w:r w:rsidR="007F375F">
        <w:t xml:space="preserve"> por $</w:t>
      </w:r>
      <w:r w:rsidR="00F07A6D" w:rsidRPr="00F07A6D">
        <w:rPr>
          <w:rFonts w:ascii="Arial" w:eastAsia="Times New Roman" w:hAnsi="Arial" w:cs="Arial"/>
          <w:b/>
          <w:bCs/>
          <w:color w:val="000000"/>
          <w:sz w:val="20"/>
          <w:szCs w:val="20"/>
          <w:lang w:eastAsia="es-MX"/>
        </w:rPr>
        <w:t>5,816,834.38</w:t>
      </w:r>
      <w:r w:rsidR="003329EF">
        <w:t xml:space="preserve">; </w:t>
      </w:r>
      <w:r w:rsidR="000E285A">
        <w:t xml:space="preserve"> un aumento </w:t>
      </w:r>
      <w:r w:rsidR="0065707E">
        <w:t xml:space="preserve">en el patrimonio de $ </w:t>
      </w:r>
      <w:r w:rsidR="00F07A6D" w:rsidRPr="00F07A6D">
        <w:rPr>
          <w:rFonts w:ascii="Arial" w:eastAsia="Times New Roman" w:hAnsi="Arial" w:cs="Arial"/>
          <w:b/>
          <w:bCs/>
          <w:color w:val="000000"/>
          <w:sz w:val="20"/>
          <w:szCs w:val="20"/>
          <w:lang w:eastAsia="es-MX"/>
        </w:rPr>
        <w:t>377,665.52</w:t>
      </w:r>
      <w:r w:rsidR="00F07A6D">
        <w:rPr>
          <w:rFonts w:ascii="Arial" w:eastAsia="Times New Roman" w:hAnsi="Arial" w:cs="Arial"/>
          <w:b/>
          <w:bCs/>
          <w:color w:val="000000"/>
          <w:sz w:val="20"/>
          <w:szCs w:val="20"/>
          <w:lang w:eastAsia="es-MX"/>
        </w:rPr>
        <w:t xml:space="preserve">  menos</w:t>
      </w:r>
      <w:r w:rsidR="00F07A6D" w:rsidRPr="00F07A6D">
        <w:rPr>
          <w:rFonts w:ascii="Calibri" w:eastAsia="Times New Roman" w:hAnsi="Calibri" w:cs="Calibri"/>
          <w:color w:val="000000"/>
          <w:lang w:eastAsia="es-MX"/>
        </w:rPr>
        <w:t xml:space="preserve">   2,687,127.55 </w:t>
      </w:r>
      <w:r w:rsidR="009B2BDD">
        <w:t>como ahorro del ejercicio</w:t>
      </w:r>
    </w:p>
    <w:p w:rsidR="007C06B6" w:rsidRDefault="007C06B6" w:rsidP="001B6F09">
      <w:pPr>
        <w:jc w:val="both"/>
      </w:pPr>
    </w:p>
    <w:p w:rsidR="00B13F75" w:rsidRDefault="001B6F09" w:rsidP="001B6F09">
      <w:pPr>
        <w:jc w:val="both"/>
      </w:pPr>
      <w:r w:rsidRPr="00831FD9">
        <w:t>En</w:t>
      </w:r>
      <w:r w:rsidR="0065707E" w:rsidRPr="00831FD9">
        <w:t xml:space="preserve"> el periodo de </w:t>
      </w:r>
      <w:r w:rsidR="00F07A6D">
        <w:t>Abril</w:t>
      </w:r>
      <w:r w:rsidR="0064541C">
        <w:t xml:space="preserve"> a </w:t>
      </w:r>
      <w:r w:rsidR="00F07A6D">
        <w:t>Junio</w:t>
      </w:r>
      <w:r w:rsidR="00831FD9">
        <w:t xml:space="preserve"> 201</w:t>
      </w:r>
      <w:r w:rsidR="0064541C">
        <w:t>7</w:t>
      </w:r>
      <w:r w:rsidR="009D2BD4" w:rsidRPr="00831FD9">
        <w:t xml:space="preserve"> se modificó el resultado de ejercicios anteriores como sigue:</w:t>
      </w:r>
    </w:p>
    <w:p w:rsidR="009D2BD4" w:rsidRDefault="009D2BD4" w:rsidP="001B6F09">
      <w:pPr>
        <w:jc w:val="both"/>
      </w:pPr>
      <w:r w:rsidRPr="00B264AB">
        <w:t xml:space="preserve">Ejercicio de </w:t>
      </w:r>
      <w:r w:rsidR="00B264AB" w:rsidRPr="00B264AB">
        <w:t>Abril</w:t>
      </w:r>
      <w:r w:rsidR="00F07A6D" w:rsidRPr="00B264AB">
        <w:t xml:space="preserve"> a Junio</w:t>
      </w:r>
      <w:r w:rsidR="0064541C" w:rsidRPr="00B264AB">
        <w:t xml:space="preserve"> 2017</w:t>
      </w:r>
    </w:p>
    <w:tbl>
      <w:tblPr>
        <w:tblW w:w="8665" w:type="dxa"/>
        <w:tblInd w:w="-10" w:type="dxa"/>
        <w:tblCellMar>
          <w:left w:w="70" w:type="dxa"/>
          <w:right w:w="70" w:type="dxa"/>
        </w:tblCellMar>
        <w:tblLook w:val="04A0" w:firstRow="1" w:lastRow="0" w:firstColumn="1" w:lastColumn="0" w:noHBand="0" w:noVBand="1"/>
      </w:tblPr>
      <w:tblGrid>
        <w:gridCol w:w="5080"/>
        <w:gridCol w:w="1204"/>
        <w:gridCol w:w="2381"/>
      </w:tblGrid>
      <w:tr w:rsidR="00B264AB" w:rsidRPr="00B264AB" w:rsidTr="00B264AB">
        <w:trPr>
          <w:trHeight w:val="254"/>
        </w:trPr>
        <w:tc>
          <w:tcPr>
            <w:tcW w:w="5080" w:type="dxa"/>
            <w:tcBorders>
              <w:top w:val="single" w:sz="8" w:space="0" w:color="auto"/>
              <w:left w:val="single" w:sz="8" w:space="0" w:color="auto"/>
              <w:bottom w:val="nil"/>
              <w:right w:val="single" w:sz="8" w:space="0" w:color="auto"/>
            </w:tcBorders>
            <w:shd w:val="clear" w:color="000000" w:fill="D9D9D9"/>
            <w:noWrap/>
            <w:vAlign w:val="center"/>
            <w:hideMark/>
          </w:tcPr>
          <w:p w:rsidR="00B264AB" w:rsidRPr="00B264AB" w:rsidRDefault="00B264AB" w:rsidP="00B264AB">
            <w:pPr>
              <w:spacing w:after="0" w:line="240" w:lineRule="auto"/>
              <w:jc w:val="center"/>
              <w:rPr>
                <w:rFonts w:ascii="Arial" w:eastAsia="Times New Roman" w:hAnsi="Arial" w:cs="Arial"/>
                <w:color w:val="000000"/>
                <w:sz w:val="16"/>
                <w:szCs w:val="16"/>
                <w:lang w:eastAsia="es-MX"/>
              </w:rPr>
            </w:pPr>
            <w:bookmarkStart w:id="0" w:name="OLE_LINK1" w:colFirst="2" w:colLast="2"/>
            <w:r w:rsidRPr="00B264AB">
              <w:rPr>
                <w:rFonts w:ascii="Arial" w:eastAsia="Times New Roman" w:hAnsi="Arial" w:cs="Arial"/>
                <w:color w:val="000000"/>
                <w:sz w:val="16"/>
                <w:szCs w:val="16"/>
                <w:lang w:eastAsia="es-MX"/>
              </w:rPr>
              <w:t>CONCEPTO</w:t>
            </w:r>
          </w:p>
        </w:tc>
        <w:tc>
          <w:tcPr>
            <w:tcW w:w="1204" w:type="dxa"/>
            <w:tcBorders>
              <w:top w:val="single" w:sz="8" w:space="0" w:color="auto"/>
              <w:left w:val="nil"/>
              <w:bottom w:val="nil"/>
              <w:right w:val="single" w:sz="8" w:space="0" w:color="auto"/>
            </w:tcBorders>
            <w:shd w:val="clear" w:color="000000" w:fill="D9D9D9"/>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bookmarkStart w:id="1" w:name="RANGE!B4"/>
            <w:r w:rsidRPr="00B264AB">
              <w:rPr>
                <w:rFonts w:ascii="Arial" w:eastAsia="Times New Roman" w:hAnsi="Arial" w:cs="Arial"/>
                <w:color w:val="000000"/>
                <w:sz w:val="16"/>
                <w:szCs w:val="16"/>
                <w:lang w:eastAsia="es-MX"/>
              </w:rPr>
              <w:t>PARCIAL</w:t>
            </w:r>
            <w:bookmarkEnd w:id="1"/>
          </w:p>
        </w:tc>
        <w:tc>
          <w:tcPr>
            <w:tcW w:w="2381" w:type="dxa"/>
            <w:tcBorders>
              <w:top w:val="single" w:sz="8" w:space="0" w:color="auto"/>
              <w:left w:val="nil"/>
              <w:bottom w:val="single" w:sz="8" w:space="0" w:color="auto"/>
              <w:right w:val="single" w:sz="8" w:space="0" w:color="auto"/>
            </w:tcBorders>
            <w:shd w:val="clear" w:color="000000" w:fill="D9D9D9"/>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TOTAL</w:t>
            </w:r>
          </w:p>
        </w:tc>
      </w:tr>
      <w:tr w:rsidR="00B264AB" w:rsidRPr="00B264AB" w:rsidTr="00B264AB">
        <w:trPr>
          <w:trHeight w:val="242"/>
        </w:trPr>
        <w:tc>
          <w:tcPr>
            <w:tcW w:w="5080" w:type="dxa"/>
            <w:tcBorders>
              <w:top w:val="single" w:sz="8" w:space="0" w:color="auto"/>
              <w:left w:val="single" w:sz="8" w:space="0" w:color="auto"/>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Saldo al 31 de Marzo 2017</w:t>
            </w:r>
          </w:p>
        </w:tc>
        <w:tc>
          <w:tcPr>
            <w:tcW w:w="1204" w:type="dxa"/>
            <w:tcBorders>
              <w:top w:val="single" w:sz="8" w:space="0" w:color="auto"/>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c>
          <w:tcPr>
            <w:tcW w:w="2381"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jc w:val="right"/>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-10,183,590.58</w:t>
            </w:r>
          </w:p>
        </w:tc>
      </w:tr>
      <w:tr w:rsidR="00B264AB" w:rsidRPr="00B264AB" w:rsidTr="00B264AB">
        <w:trPr>
          <w:trHeight w:val="242"/>
        </w:trPr>
        <w:tc>
          <w:tcPr>
            <w:tcW w:w="5080" w:type="dxa"/>
            <w:tcBorders>
              <w:top w:val="nil"/>
              <w:left w:val="single" w:sz="8" w:space="0" w:color="auto"/>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c>
          <w:tcPr>
            <w:tcW w:w="1204"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c>
          <w:tcPr>
            <w:tcW w:w="2381"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r>
      <w:tr w:rsidR="00B264AB" w:rsidRPr="00B264AB" w:rsidTr="00B264AB">
        <w:trPr>
          <w:trHeight w:val="242"/>
        </w:trPr>
        <w:tc>
          <w:tcPr>
            <w:tcW w:w="5080" w:type="dxa"/>
            <w:tcBorders>
              <w:top w:val="nil"/>
              <w:left w:val="single" w:sz="8" w:space="0" w:color="auto"/>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Sub Total</w:t>
            </w:r>
          </w:p>
        </w:tc>
        <w:tc>
          <w:tcPr>
            <w:tcW w:w="1204"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c>
          <w:tcPr>
            <w:tcW w:w="2381"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jc w:val="right"/>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-10,183,590.58</w:t>
            </w:r>
          </w:p>
        </w:tc>
      </w:tr>
      <w:tr w:rsidR="00B264AB" w:rsidRPr="00B264AB" w:rsidTr="00B264AB">
        <w:trPr>
          <w:trHeight w:val="242"/>
        </w:trPr>
        <w:tc>
          <w:tcPr>
            <w:tcW w:w="5080" w:type="dxa"/>
            <w:tcBorders>
              <w:top w:val="nil"/>
              <w:left w:val="single" w:sz="8" w:space="0" w:color="auto"/>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Mas: Ajustes a resultados de ejerc anteriores:</w:t>
            </w:r>
          </w:p>
        </w:tc>
        <w:tc>
          <w:tcPr>
            <w:tcW w:w="1204"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c>
          <w:tcPr>
            <w:tcW w:w="2381"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r>
      <w:tr w:rsidR="00B264AB" w:rsidRPr="00B264AB" w:rsidTr="00B264AB">
        <w:trPr>
          <w:trHeight w:val="242"/>
        </w:trPr>
        <w:tc>
          <w:tcPr>
            <w:tcW w:w="5080" w:type="dxa"/>
            <w:tcBorders>
              <w:top w:val="nil"/>
              <w:left w:val="single" w:sz="8" w:space="0" w:color="auto"/>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Poliza diario no.5009 del 30 Abril 2017</w:t>
            </w:r>
          </w:p>
        </w:tc>
        <w:tc>
          <w:tcPr>
            <w:tcW w:w="1204"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jc w:val="right"/>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c>
          <w:tcPr>
            <w:tcW w:w="2381"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r>
      <w:tr w:rsidR="00B264AB" w:rsidRPr="00B264AB" w:rsidTr="00B264AB">
        <w:trPr>
          <w:trHeight w:val="242"/>
        </w:trPr>
        <w:tc>
          <w:tcPr>
            <w:tcW w:w="5080" w:type="dxa"/>
            <w:tcBorders>
              <w:top w:val="nil"/>
              <w:left w:val="single" w:sz="8" w:space="0" w:color="auto"/>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homologacion saldos con CNA</w:t>
            </w:r>
          </w:p>
        </w:tc>
        <w:tc>
          <w:tcPr>
            <w:tcW w:w="1204"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jc w:val="right"/>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xml:space="preserve">  5,816,834.38 </w:t>
            </w:r>
          </w:p>
        </w:tc>
        <w:tc>
          <w:tcPr>
            <w:tcW w:w="2381"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r>
      <w:tr w:rsidR="00B264AB" w:rsidRPr="00B264AB" w:rsidTr="00B264AB">
        <w:trPr>
          <w:trHeight w:val="242"/>
        </w:trPr>
        <w:tc>
          <w:tcPr>
            <w:tcW w:w="5080" w:type="dxa"/>
            <w:tcBorders>
              <w:top w:val="nil"/>
              <w:left w:val="single" w:sz="8" w:space="0" w:color="auto"/>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Póliza diario no. 6605 del 8 junio 2017</w:t>
            </w:r>
          </w:p>
        </w:tc>
        <w:tc>
          <w:tcPr>
            <w:tcW w:w="1204"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jc w:val="right"/>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c>
          <w:tcPr>
            <w:tcW w:w="2381"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r>
      <w:tr w:rsidR="00B264AB" w:rsidRPr="00B264AB" w:rsidTr="00B264AB">
        <w:trPr>
          <w:trHeight w:val="242"/>
        </w:trPr>
        <w:tc>
          <w:tcPr>
            <w:tcW w:w="5080" w:type="dxa"/>
            <w:tcBorders>
              <w:top w:val="nil"/>
              <w:left w:val="single" w:sz="8" w:space="0" w:color="auto"/>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apoyo al deporte pte ejercicios anteriores sind.</w:t>
            </w:r>
          </w:p>
        </w:tc>
        <w:tc>
          <w:tcPr>
            <w:tcW w:w="1204"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jc w:val="right"/>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xml:space="preserve">       15,000.00 </w:t>
            </w:r>
          </w:p>
        </w:tc>
        <w:tc>
          <w:tcPr>
            <w:tcW w:w="2381"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r>
      <w:tr w:rsidR="00B264AB" w:rsidRPr="00B264AB" w:rsidTr="00B264AB">
        <w:trPr>
          <w:trHeight w:val="242"/>
        </w:trPr>
        <w:tc>
          <w:tcPr>
            <w:tcW w:w="5080" w:type="dxa"/>
            <w:tcBorders>
              <w:top w:val="nil"/>
              <w:left w:val="single" w:sz="8" w:space="0" w:color="auto"/>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Poliza diario no.6606 del 08 junio 2017</w:t>
            </w:r>
          </w:p>
        </w:tc>
        <w:tc>
          <w:tcPr>
            <w:tcW w:w="1204"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jc w:val="right"/>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xml:space="preserve">       15,000.00 </w:t>
            </w:r>
          </w:p>
        </w:tc>
        <w:tc>
          <w:tcPr>
            <w:tcW w:w="2381"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jc w:val="right"/>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xml:space="preserve">          5,786,834.38 </w:t>
            </w:r>
          </w:p>
        </w:tc>
      </w:tr>
      <w:tr w:rsidR="00B264AB" w:rsidRPr="00B264AB" w:rsidTr="00B264AB">
        <w:trPr>
          <w:trHeight w:val="242"/>
        </w:trPr>
        <w:tc>
          <w:tcPr>
            <w:tcW w:w="5080" w:type="dxa"/>
            <w:tcBorders>
              <w:top w:val="nil"/>
              <w:left w:val="single" w:sz="8" w:space="0" w:color="auto"/>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apoyo al deporte pte ejercicios anteriores sind.</w:t>
            </w:r>
          </w:p>
        </w:tc>
        <w:tc>
          <w:tcPr>
            <w:tcW w:w="1204" w:type="dxa"/>
            <w:tcBorders>
              <w:top w:val="nil"/>
              <w:left w:val="nil"/>
              <w:bottom w:val="nil"/>
              <w:right w:val="nil"/>
            </w:tcBorders>
            <w:shd w:val="clear" w:color="auto" w:fill="auto"/>
            <w:noWrap/>
            <w:vAlign w:val="bottom"/>
            <w:hideMark/>
          </w:tcPr>
          <w:p w:rsidR="00B264AB" w:rsidRPr="00B264AB" w:rsidRDefault="00B264AB" w:rsidP="00B264AB">
            <w:pPr>
              <w:spacing w:after="0" w:line="240" w:lineRule="auto"/>
              <w:rPr>
                <w:rFonts w:ascii="Arial" w:eastAsia="Times New Roman" w:hAnsi="Arial" w:cs="Arial"/>
                <w:color w:val="000000"/>
                <w:sz w:val="16"/>
                <w:szCs w:val="16"/>
                <w:lang w:eastAsia="es-MX"/>
              </w:rPr>
            </w:pPr>
          </w:p>
        </w:tc>
        <w:tc>
          <w:tcPr>
            <w:tcW w:w="2381"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jc w:val="right"/>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w:t>
            </w:r>
          </w:p>
        </w:tc>
      </w:tr>
      <w:tr w:rsidR="00B264AB" w:rsidRPr="00B264AB" w:rsidTr="00B264AB">
        <w:trPr>
          <w:trHeight w:val="242"/>
        </w:trPr>
        <w:tc>
          <w:tcPr>
            <w:tcW w:w="5080" w:type="dxa"/>
            <w:tcBorders>
              <w:top w:val="nil"/>
              <w:left w:val="single" w:sz="8" w:space="0" w:color="auto"/>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Saldo al 30 de junio de 2016</w:t>
            </w:r>
          </w:p>
        </w:tc>
        <w:tc>
          <w:tcPr>
            <w:tcW w:w="1204"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c>
          <w:tcPr>
            <w:tcW w:w="2381" w:type="dxa"/>
            <w:tcBorders>
              <w:top w:val="nil"/>
              <w:left w:val="nil"/>
              <w:bottom w:val="nil"/>
              <w:right w:val="single" w:sz="8" w:space="0" w:color="auto"/>
            </w:tcBorders>
            <w:shd w:val="clear" w:color="auto" w:fill="auto"/>
            <w:noWrap/>
            <w:vAlign w:val="center"/>
            <w:hideMark/>
          </w:tcPr>
          <w:p w:rsidR="00B264AB" w:rsidRPr="00B264AB" w:rsidRDefault="00B264AB" w:rsidP="00B264AB">
            <w:pPr>
              <w:spacing w:after="0" w:line="240" w:lineRule="auto"/>
              <w:jc w:val="right"/>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-4,396,756.20</w:t>
            </w:r>
          </w:p>
        </w:tc>
      </w:tr>
      <w:tr w:rsidR="00B264AB" w:rsidRPr="00B264AB" w:rsidTr="00B264AB">
        <w:trPr>
          <w:trHeight w:val="254"/>
        </w:trPr>
        <w:tc>
          <w:tcPr>
            <w:tcW w:w="5080" w:type="dxa"/>
            <w:tcBorders>
              <w:top w:val="nil"/>
              <w:left w:val="single" w:sz="8" w:space="0" w:color="auto"/>
              <w:bottom w:val="single" w:sz="8" w:space="0" w:color="auto"/>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c>
          <w:tcPr>
            <w:tcW w:w="1204" w:type="dxa"/>
            <w:tcBorders>
              <w:top w:val="nil"/>
              <w:left w:val="nil"/>
              <w:bottom w:val="single" w:sz="8" w:space="0" w:color="auto"/>
              <w:right w:val="single" w:sz="8" w:space="0" w:color="auto"/>
            </w:tcBorders>
            <w:shd w:val="clear" w:color="auto" w:fill="auto"/>
            <w:noWrap/>
            <w:vAlign w:val="center"/>
            <w:hideMark/>
          </w:tcPr>
          <w:p w:rsidR="00B264AB" w:rsidRPr="00B264AB" w:rsidRDefault="00B264AB" w:rsidP="00B264AB">
            <w:pPr>
              <w:spacing w:after="0" w:line="240" w:lineRule="auto"/>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 </w:t>
            </w:r>
          </w:p>
        </w:tc>
        <w:tc>
          <w:tcPr>
            <w:tcW w:w="2381" w:type="dxa"/>
            <w:tcBorders>
              <w:top w:val="nil"/>
              <w:left w:val="nil"/>
              <w:bottom w:val="single" w:sz="8" w:space="0" w:color="auto"/>
              <w:right w:val="single" w:sz="8" w:space="0" w:color="auto"/>
            </w:tcBorders>
            <w:shd w:val="clear" w:color="auto" w:fill="auto"/>
            <w:noWrap/>
            <w:vAlign w:val="center"/>
            <w:hideMark/>
          </w:tcPr>
          <w:p w:rsidR="00B264AB" w:rsidRPr="00B264AB" w:rsidRDefault="00B264AB" w:rsidP="00B264AB">
            <w:pPr>
              <w:spacing w:after="0" w:line="240" w:lineRule="auto"/>
              <w:jc w:val="right"/>
              <w:rPr>
                <w:rFonts w:ascii="Arial" w:eastAsia="Times New Roman" w:hAnsi="Arial" w:cs="Arial"/>
                <w:color w:val="000000"/>
                <w:sz w:val="16"/>
                <w:szCs w:val="16"/>
                <w:lang w:eastAsia="es-MX"/>
              </w:rPr>
            </w:pPr>
            <w:r w:rsidRPr="00B264AB">
              <w:rPr>
                <w:rFonts w:ascii="Arial" w:eastAsia="Times New Roman" w:hAnsi="Arial" w:cs="Arial"/>
                <w:color w:val="000000"/>
                <w:sz w:val="16"/>
                <w:szCs w:val="16"/>
                <w:lang w:eastAsia="es-MX"/>
              </w:rPr>
              <w:t>============</w:t>
            </w:r>
          </w:p>
        </w:tc>
      </w:tr>
      <w:bookmarkEnd w:id="0"/>
    </w:tbl>
    <w:p w:rsidR="009D2BD4" w:rsidRDefault="009D2BD4" w:rsidP="001B6F09">
      <w:pPr>
        <w:jc w:val="both"/>
      </w:pPr>
    </w:p>
    <w:p w:rsidR="00F74E1D" w:rsidRDefault="00415942" w:rsidP="00F74E1D">
      <w:pPr>
        <w:pStyle w:val="Prrafodelista"/>
        <w:numPr>
          <w:ilvl w:val="0"/>
          <w:numId w:val="4"/>
        </w:numPr>
        <w:jc w:val="both"/>
        <w:rPr>
          <w:b/>
        </w:rPr>
      </w:pPr>
      <w:r>
        <w:rPr>
          <w:b/>
        </w:rPr>
        <w:lastRenderedPageBreak/>
        <w:t xml:space="preserve"> </w:t>
      </w:r>
      <w:r w:rsidR="00F74E1D" w:rsidRPr="00F74E1D">
        <w:rPr>
          <w:b/>
        </w:rPr>
        <w:t>NOTAS AL ESTADO DE ACTIVIDADES</w:t>
      </w:r>
    </w:p>
    <w:p w:rsidR="00F74E1D" w:rsidRDefault="00F74E1D" w:rsidP="00F74E1D">
      <w:pPr>
        <w:jc w:val="both"/>
      </w:pPr>
      <w:r w:rsidRPr="00F74E1D">
        <w:t>NOTA 13</w:t>
      </w:r>
      <w:r>
        <w:t>. INTEGRACION DE INGRESOS Y EGRESOS</w:t>
      </w:r>
    </w:p>
    <w:p w:rsidR="00F74E1D" w:rsidRDefault="00F74E1D" w:rsidP="00F74E1D">
      <w:pPr>
        <w:pStyle w:val="Prrafodelista"/>
        <w:numPr>
          <w:ilvl w:val="0"/>
          <w:numId w:val="7"/>
        </w:numPr>
        <w:jc w:val="both"/>
      </w:pPr>
      <w:r>
        <w:t xml:space="preserve">En </w:t>
      </w:r>
      <w:r w:rsidR="00BF4D83">
        <w:t>el</w:t>
      </w:r>
      <w:r>
        <w:t xml:space="preserve"> periodo de  </w:t>
      </w:r>
      <w:r w:rsidR="00B264AB">
        <w:t>Abril</w:t>
      </w:r>
      <w:r>
        <w:t xml:space="preserve"> </w:t>
      </w:r>
      <w:r w:rsidR="00701F98">
        <w:t>a</w:t>
      </w:r>
      <w:r>
        <w:t xml:space="preserve"> </w:t>
      </w:r>
      <w:r w:rsidR="00B264AB">
        <w:t>Junio</w:t>
      </w:r>
      <w:r>
        <w:t xml:space="preserve"> 201</w:t>
      </w:r>
      <w:r w:rsidR="00F34884">
        <w:t>7</w:t>
      </w:r>
      <w:r w:rsidR="00BF4D83">
        <w:t xml:space="preserve"> </w:t>
      </w:r>
      <w:r>
        <w:t>los ingresos se integran como sigue:</w:t>
      </w:r>
    </w:p>
    <w:tbl>
      <w:tblPr>
        <w:tblW w:w="8755" w:type="dxa"/>
        <w:tblInd w:w="-10" w:type="dxa"/>
        <w:tblCellMar>
          <w:left w:w="70" w:type="dxa"/>
          <w:right w:w="70" w:type="dxa"/>
        </w:tblCellMar>
        <w:tblLook w:val="04A0" w:firstRow="1" w:lastRow="0" w:firstColumn="1" w:lastColumn="0" w:noHBand="0" w:noVBand="1"/>
      </w:tblPr>
      <w:tblGrid>
        <w:gridCol w:w="4382"/>
        <w:gridCol w:w="3586"/>
        <w:gridCol w:w="787"/>
      </w:tblGrid>
      <w:tr w:rsidR="00243E83" w:rsidRPr="00243E83" w:rsidTr="00243E83">
        <w:trPr>
          <w:trHeight w:val="276"/>
        </w:trPr>
        <w:tc>
          <w:tcPr>
            <w:tcW w:w="438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43E83" w:rsidRPr="00243E83" w:rsidRDefault="00243E83" w:rsidP="00243E83">
            <w:pPr>
              <w:spacing w:after="0" w:line="240" w:lineRule="auto"/>
              <w:jc w:val="center"/>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xml:space="preserve">CONCEPTO </w:t>
            </w:r>
          </w:p>
        </w:tc>
        <w:tc>
          <w:tcPr>
            <w:tcW w:w="4373" w:type="dxa"/>
            <w:gridSpan w:val="2"/>
            <w:tcBorders>
              <w:top w:val="single" w:sz="8" w:space="0" w:color="auto"/>
              <w:left w:val="nil"/>
              <w:bottom w:val="single" w:sz="8" w:space="0" w:color="auto"/>
              <w:right w:val="single" w:sz="8" w:space="0" w:color="000000"/>
            </w:tcBorders>
            <w:shd w:val="clear" w:color="auto" w:fill="auto"/>
            <w:noWrap/>
            <w:vAlign w:val="center"/>
            <w:hideMark/>
          </w:tcPr>
          <w:p w:rsidR="00243E83" w:rsidRPr="00243E83" w:rsidRDefault="00243E83" w:rsidP="00243E83">
            <w:pPr>
              <w:spacing w:after="0" w:line="240" w:lineRule="auto"/>
              <w:jc w:val="center"/>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ABRIL DE JUNIO 2017</w:t>
            </w:r>
          </w:p>
        </w:tc>
      </w:tr>
      <w:tr w:rsidR="00243E83" w:rsidRPr="00243E83" w:rsidTr="00243E83">
        <w:trPr>
          <w:trHeight w:val="276"/>
        </w:trPr>
        <w:tc>
          <w:tcPr>
            <w:tcW w:w="4382" w:type="dxa"/>
            <w:vMerge/>
            <w:tcBorders>
              <w:top w:val="single" w:sz="8" w:space="0" w:color="auto"/>
              <w:left w:val="single" w:sz="8" w:space="0" w:color="auto"/>
              <w:bottom w:val="single" w:sz="8" w:space="0" w:color="000000"/>
              <w:right w:val="single" w:sz="8" w:space="0" w:color="auto"/>
            </w:tcBorders>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p>
        </w:tc>
        <w:tc>
          <w:tcPr>
            <w:tcW w:w="3586" w:type="dxa"/>
            <w:tcBorders>
              <w:top w:val="nil"/>
              <w:left w:val="nil"/>
              <w:bottom w:val="single" w:sz="8" w:space="0" w:color="auto"/>
              <w:right w:val="nil"/>
            </w:tcBorders>
            <w:shd w:val="clear" w:color="auto" w:fill="auto"/>
            <w:noWrap/>
            <w:vAlign w:val="center"/>
            <w:hideMark/>
          </w:tcPr>
          <w:p w:rsidR="00243E83" w:rsidRPr="00243E83" w:rsidRDefault="00243E83" w:rsidP="00243E83">
            <w:pPr>
              <w:spacing w:after="0" w:line="240" w:lineRule="auto"/>
              <w:jc w:val="center"/>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IMPORTE</w:t>
            </w:r>
          </w:p>
        </w:tc>
        <w:tc>
          <w:tcPr>
            <w:tcW w:w="786" w:type="dxa"/>
            <w:tcBorders>
              <w:top w:val="nil"/>
              <w:left w:val="nil"/>
              <w:bottom w:val="single" w:sz="8" w:space="0" w:color="auto"/>
              <w:right w:val="single" w:sz="8" w:space="0" w:color="auto"/>
            </w:tcBorders>
            <w:shd w:val="clear" w:color="auto" w:fill="auto"/>
            <w:noWrap/>
            <w:vAlign w:val="center"/>
            <w:hideMark/>
          </w:tcPr>
          <w:p w:rsidR="00243E83" w:rsidRPr="00243E83" w:rsidRDefault="00243E83" w:rsidP="00243E83">
            <w:pPr>
              <w:spacing w:after="0" w:line="240" w:lineRule="auto"/>
              <w:jc w:val="center"/>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w:t>
            </w:r>
          </w:p>
        </w:tc>
      </w:tr>
      <w:tr w:rsidR="00243E83" w:rsidRPr="00243E83" w:rsidTr="00243E83">
        <w:trPr>
          <w:trHeight w:val="263"/>
        </w:trPr>
        <w:tc>
          <w:tcPr>
            <w:tcW w:w="4382"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INGRESOS</w:t>
            </w:r>
          </w:p>
        </w:tc>
        <w:tc>
          <w:tcPr>
            <w:tcW w:w="3586" w:type="dxa"/>
            <w:tcBorders>
              <w:top w:val="nil"/>
              <w:left w:val="nil"/>
              <w:bottom w:val="nil"/>
              <w:right w:val="nil"/>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b/>
                <w:bCs/>
                <w:color w:val="000000"/>
                <w:lang w:eastAsia="es-MX"/>
              </w:rPr>
            </w:pPr>
            <w:r w:rsidRPr="00243E83">
              <w:rPr>
                <w:rFonts w:ascii="Calibri" w:eastAsia="Times New Roman" w:hAnsi="Calibri" w:cs="Times New Roman"/>
                <w:b/>
                <w:bCs/>
                <w:color w:val="000000"/>
                <w:lang w:eastAsia="es-MX"/>
              </w:rPr>
              <w:t>13,901,942.4</w:t>
            </w:r>
          </w:p>
        </w:tc>
        <w:tc>
          <w:tcPr>
            <w:tcW w:w="786"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100%</w:t>
            </w:r>
          </w:p>
        </w:tc>
      </w:tr>
      <w:tr w:rsidR="00243E83" w:rsidRPr="00243E83" w:rsidTr="00243E83">
        <w:trPr>
          <w:trHeight w:val="263"/>
        </w:trPr>
        <w:tc>
          <w:tcPr>
            <w:tcW w:w="4382"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c>
          <w:tcPr>
            <w:tcW w:w="3586" w:type="dxa"/>
            <w:tcBorders>
              <w:top w:val="nil"/>
              <w:left w:val="nil"/>
              <w:bottom w:val="nil"/>
              <w:right w:val="nil"/>
            </w:tcBorders>
            <w:shd w:val="clear" w:color="auto" w:fill="auto"/>
            <w:noWrap/>
            <w:vAlign w:val="bottom"/>
            <w:hideMark/>
          </w:tcPr>
          <w:p w:rsidR="00243E83" w:rsidRPr="00243E83" w:rsidRDefault="00243E83" w:rsidP="00243E83">
            <w:pPr>
              <w:spacing w:after="0" w:line="240" w:lineRule="auto"/>
              <w:rPr>
                <w:rFonts w:ascii="Calibri" w:eastAsia="Times New Roman" w:hAnsi="Calibri" w:cs="Times New Roman"/>
                <w:color w:val="000000"/>
                <w:lang w:eastAsia="es-MX"/>
              </w:rPr>
            </w:pPr>
          </w:p>
        </w:tc>
        <w:tc>
          <w:tcPr>
            <w:tcW w:w="786"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r>
      <w:tr w:rsidR="00243E83" w:rsidRPr="00243E83" w:rsidTr="00243E83">
        <w:trPr>
          <w:trHeight w:val="263"/>
        </w:trPr>
        <w:tc>
          <w:tcPr>
            <w:tcW w:w="4382"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IMPUESTOS</w:t>
            </w:r>
          </w:p>
        </w:tc>
        <w:tc>
          <w:tcPr>
            <w:tcW w:w="3586" w:type="dxa"/>
            <w:tcBorders>
              <w:top w:val="nil"/>
              <w:left w:val="nil"/>
              <w:bottom w:val="nil"/>
              <w:right w:val="nil"/>
            </w:tcBorders>
            <w:shd w:val="clear" w:color="auto" w:fill="auto"/>
            <w:noWrap/>
            <w:vAlign w:val="bottom"/>
            <w:hideMark/>
          </w:tcPr>
          <w:p w:rsidR="00243E83" w:rsidRPr="00243E83" w:rsidRDefault="00243E83" w:rsidP="00243E83">
            <w:pPr>
              <w:spacing w:after="0" w:line="240" w:lineRule="auto"/>
              <w:rPr>
                <w:rFonts w:ascii="Calibri" w:eastAsia="Times New Roman" w:hAnsi="Calibri" w:cs="Times New Roman"/>
                <w:color w:val="000000"/>
                <w:lang w:eastAsia="es-MX"/>
              </w:rPr>
            </w:pPr>
          </w:p>
        </w:tc>
        <w:tc>
          <w:tcPr>
            <w:tcW w:w="786"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r>
      <w:tr w:rsidR="00243E83" w:rsidRPr="00243E83" w:rsidTr="00243E83">
        <w:trPr>
          <w:trHeight w:val="263"/>
        </w:trPr>
        <w:tc>
          <w:tcPr>
            <w:tcW w:w="4382"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c>
          <w:tcPr>
            <w:tcW w:w="3586" w:type="dxa"/>
            <w:tcBorders>
              <w:top w:val="nil"/>
              <w:left w:val="nil"/>
              <w:bottom w:val="nil"/>
              <w:right w:val="nil"/>
            </w:tcBorders>
            <w:shd w:val="clear" w:color="auto" w:fill="auto"/>
            <w:noWrap/>
            <w:vAlign w:val="bottom"/>
            <w:hideMark/>
          </w:tcPr>
          <w:p w:rsidR="00243E83" w:rsidRPr="00243E83" w:rsidRDefault="00243E83" w:rsidP="00243E83">
            <w:pPr>
              <w:spacing w:after="0" w:line="240" w:lineRule="auto"/>
              <w:rPr>
                <w:rFonts w:ascii="Calibri" w:eastAsia="Times New Roman" w:hAnsi="Calibri" w:cs="Times New Roman"/>
                <w:color w:val="000000"/>
                <w:lang w:eastAsia="es-MX"/>
              </w:rPr>
            </w:pPr>
          </w:p>
        </w:tc>
        <w:tc>
          <w:tcPr>
            <w:tcW w:w="786"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r>
      <w:tr w:rsidR="00243E83" w:rsidRPr="00243E83" w:rsidTr="00243E83">
        <w:trPr>
          <w:trHeight w:val="263"/>
        </w:trPr>
        <w:tc>
          <w:tcPr>
            <w:tcW w:w="4382"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DERECHOS</w:t>
            </w:r>
          </w:p>
        </w:tc>
        <w:tc>
          <w:tcPr>
            <w:tcW w:w="3586" w:type="dxa"/>
            <w:tcBorders>
              <w:top w:val="nil"/>
              <w:left w:val="nil"/>
              <w:bottom w:val="nil"/>
              <w:right w:val="nil"/>
            </w:tcBorders>
            <w:shd w:val="clear" w:color="auto" w:fill="auto"/>
            <w:noWrap/>
            <w:vAlign w:val="center"/>
            <w:hideMark/>
          </w:tcPr>
          <w:p w:rsidR="00243E83" w:rsidRPr="00243E83" w:rsidRDefault="00243E83" w:rsidP="00243E83">
            <w:pPr>
              <w:spacing w:after="0" w:line="240" w:lineRule="auto"/>
              <w:jc w:val="right"/>
              <w:rPr>
                <w:rFonts w:ascii="Arial" w:eastAsia="Times New Roman" w:hAnsi="Arial" w:cs="Arial"/>
                <w:b/>
                <w:bCs/>
                <w:color w:val="000000"/>
                <w:sz w:val="20"/>
                <w:szCs w:val="20"/>
                <w:lang w:eastAsia="es-MX"/>
              </w:rPr>
            </w:pPr>
            <w:r w:rsidRPr="00243E83">
              <w:rPr>
                <w:rFonts w:ascii="Arial" w:eastAsia="Times New Roman" w:hAnsi="Arial" w:cs="Arial"/>
                <w:b/>
                <w:bCs/>
                <w:color w:val="000000"/>
                <w:sz w:val="20"/>
                <w:szCs w:val="20"/>
                <w:lang w:eastAsia="es-MX"/>
              </w:rPr>
              <w:t>12,695,567.73</w:t>
            </w:r>
          </w:p>
        </w:tc>
        <w:tc>
          <w:tcPr>
            <w:tcW w:w="786"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91%</w:t>
            </w:r>
          </w:p>
        </w:tc>
      </w:tr>
      <w:tr w:rsidR="00243E83" w:rsidRPr="00243E83" w:rsidTr="00243E83">
        <w:trPr>
          <w:trHeight w:val="263"/>
        </w:trPr>
        <w:tc>
          <w:tcPr>
            <w:tcW w:w="4382"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c>
          <w:tcPr>
            <w:tcW w:w="3586" w:type="dxa"/>
            <w:tcBorders>
              <w:top w:val="nil"/>
              <w:left w:val="nil"/>
              <w:bottom w:val="nil"/>
              <w:right w:val="nil"/>
            </w:tcBorders>
            <w:shd w:val="clear" w:color="auto" w:fill="auto"/>
            <w:noWrap/>
            <w:vAlign w:val="bottom"/>
            <w:hideMark/>
          </w:tcPr>
          <w:p w:rsidR="00243E83" w:rsidRPr="00243E83" w:rsidRDefault="00243E83" w:rsidP="00243E83">
            <w:pPr>
              <w:spacing w:after="0" w:line="240" w:lineRule="auto"/>
              <w:rPr>
                <w:rFonts w:ascii="Calibri" w:eastAsia="Times New Roman" w:hAnsi="Calibri" w:cs="Times New Roman"/>
                <w:color w:val="000000"/>
                <w:lang w:eastAsia="es-MX"/>
              </w:rPr>
            </w:pPr>
          </w:p>
        </w:tc>
        <w:tc>
          <w:tcPr>
            <w:tcW w:w="786"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r>
      <w:tr w:rsidR="00243E83" w:rsidRPr="00243E83" w:rsidTr="00243E83">
        <w:trPr>
          <w:trHeight w:val="263"/>
        </w:trPr>
        <w:tc>
          <w:tcPr>
            <w:tcW w:w="4382"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PRODUCTOS</w:t>
            </w:r>
          </w:p>
        </w:tc>
        <w:tc>
          <w:tcPr>
            <w:tcW w:w="3586" w:type="dxa"/>
            <w:tcBorders>
              <w:top w:val="nil"/>
              <w:left w:val="nil"/>
              <w:bottom w:val="nil"/>
              <w:right w:val="nil"/>
            </w:tcBorders>
            <w:shd w:val="clear" w:color="auto" w:fill="auto"/>
            <w:noWrap/>
            <w:vAlign w:val="center"/>
            <w:hideMark/>
          </w:tcPr>
          <w:p w:rsidR="00243E83" w:rsidRPr="00243E83" w:rsidRDefault="00243E83" w:rsidP="00243E83">
            <w:pPr>
              <w:spacing w:after="0" w:line="240" w:lineRule="auto"/>
              <w:jc w:val="right"/>
              <w:rPr>
                <w:rFonts w:ascii="Arial" w:eastAsia="Times New Roman" w:hAnsi="Arial" w:cs="Arial"/>
                <w:b/>
                <w:bCs/>
                <w:color w:val="000000"/>
                <w:sz w:val="20"/>
                <w:szCs w:val="20"/>
                <w:lang w:eastAsia="es-MX"/>
              </w:rPr>
            </w:pPr>
            <w:r w:rsidRPr="00243E83">
              <w:rPr>
                <w:rFonts w:ascii="Arial" w:eastAsia="Times New Roman" w:hAnsi="Arial" w:cs="Arial"/>
                <w:b/>
                <w:bCs/>
                <w:color w:val="000000"/>
                <w:sz w:val="20"/>
                <w:szCs w:val="20"/>
                <w:lang w:eastAsia="es-MX"/>
              </w:rPr>
              <w:t>162,850.04</w:t>
            </w:r>
          </w:p>
        </w:tc>
        <w:tc>
          <w:tcPr>
            <w:tcW w:w="786"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1%</w:t>
            </w:r>
          </w:p>
        </w:tc>
      </w:tr>
      <w:tr w:rsidR="00243E83" w:rsidRPr="00243E83" w:rsidTr="00243E83">
        <w:trPr>
          <w:trHeight w:val="263"/>
        </w:trPr>
        <w:tc>
          <w:tcPr>
            <w:tcW w:w="4382"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c>
          <w:tcPr>
            <w:tcW w:w="3586" w:type="dxa"/>
            <w:tcBorders>
              <w:top w:val="nil"/>
              <w:left w:val="nil"/>
              <w:bottom w:val="nil"/>
              <w:right w:val="nil"/>
            </w:tcBorders>
            <w:shd w:val="clear" w:color="auto" w:fill="auto"/>
            <w:noWrap/>
            <w:vAlign w:val="bottom"/>
            <w:hideMark/>
          </w:tcPr>
          <w:p w:rsidR="00243E83" w:rsidRPr="00243E83" w:rsidRDefault="00243E83" w:rsidP="00243E83">
            <w:pPr>
              <w:spacing w:after="0" w:line="240" w:lineRule="auto"/>
              <w:rPr>
                <w:rFonts w:ascii="Calibri" w:eastAsia="Times New Roman" w:hAnsi="Calibri" w:cs="Times New Roman"/>
                <w:color w:val="000000"/>
                <w:lang w:eastAsia="es-MX"/>
              </w:rPr>
            </w:pPr>
          </w:p>
        </w:tc>
        <w:tc>
          <w:tcPr>
            <w:tcW w:w="786"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r>
      <w:tr w:rsidR="00243E83" w:rsidRPr="00243E83" w:rsidTr="00243E83">
        <w:trPr>
          <w:trHeight w:val="263"/>
        </w:trPr>
        <w:tc>
          <w:tcPr>
            <w:tcW w:w="4382"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APROVECHAMIENTOS</w:t>
            </w:r>
          </w:p>
        </w:tc>
        <w:tc>
          <w:tcPr>
            <w:tcW w:w="3586" w:type="dxa"/>
            <w:tcBorders>
              <w:top w:val="nil"/>
              <w:left w:val="nil"/>
              <w:bottom w:val="nil"/>
              <w:right w:val="nil"/>
            </w:tcBorders>
            <w:shd w:val="clear" w:color="auto" w:fill="auto"/>
            <w:noWrap/>
            <w:vAlign w:val="center"/>
            <w:hideMark/>
          </w:tcPr>
          <w:p w:rsidR="00243E83" w:rsidRPr="00243E83" w:rsidRDefault="00243E83" w:rsidP="00243E83">
            <w:pPr>
              <w:spacing w:after="0" w:line="240" w:lineRule="auto"/>
              <w:jc w:val="right"/>
              <w:rPr>
                <w:rFonts w:ascii="Arial" w:eastAsia="Times New Roman" w:hAnsi="Arial" w:cs="Arial"/>
                <w:b/>
                <w:bCs/>
                <w:color w:val="000000"/>
                <w:sz w:val="20"/>
                <w:szCs w:val="20"/>
                <w:lang w:eastAsia="es-MX"/>
              </w:rPr>
            </w:pPr>
            <w:r w:rsidRPr="00243E83">
              <w:rPr>
                <w:rFonts w:ascii="Arial" w:eastAsia="Times New Roman" w:hAnsi="Arial" w:cs="Arial"/>
                <w:b/>
                <w:bCs/>
                <w:color w:val="000000"/>
                <w:sz w:val="20"/>
                <w:szCs w:val="20"/>
                <w:lang w:eastAsia="es-MX"/>
              </w:rPr>
              <w:t>1,043,524.63</w:t>
            </w:r>
          </w:p>
        </w:tc>
        <w:tc>
          <w:tcPr>
            <w:tcW w:w="786"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8%</w:t>
            </w:r>
          </w:p>
        </w:tc>
      </w:tr>
      <w:tr w:rsidR="00243E83" w:rsidRPr="00243E83" w:rsidTr="00243E83">
        <w:trPr>
          <w:trHeight w:val="263"/>
        </w:trPr>
        <w:tc>
          <w:tcPr>
            <w:tcW w:w="4382"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c>
          <w:tcPr>
            <w:tcW w:w="3586" w:type="dxa"/>
            <w:tcBorders>
              <w:top w:val="nil"/>
              <w:left w:val="nil"/>
              <w:bottom w:val="nil"/>
              <w:right w:val="nil"/>
            </w:tcBorders>
            <w:shd w:val="clear" w:color="auto" w:fill="auto"/>
            <w:noWrap/>
            <w:vAlign w:val="bottom"/>
            <w:hideMark/>
          </w:tcPr>
          <w:p w:rsidR="00243E83" w:rsidRPr="00243E83" w:rsidRDefault="00243E83" w:rsidP="00243E83">
            <w:pPr>
              <w:spacing w:after="0" w:line="240" w:lineRule="auto"/>
              <w:rPr>
                <w:rFonts w:ascii="Calibri" w:eastAsia="Times New Roman" w:hAnsi="Calibri" w:cs="Times New Roman"/>
                <w:color w:val="000000"/>
                <w:lang w:eastAsia="es-MX"/>
              </w:rPr>
            </w:pPr>
          </w:p>
        </w:tc>
        <w:tc>
          <w:tcPr>
            <w:tcW w:w="786"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r>
      <w:tr w:rsidR="00243E83" w:rsidRPr="00243E83" w:rsidTr="00243E83">
        <w:trPr>
          <w:trHeight w:val="263"/>
        </w:trPr>
        <w:tc>
          <w:tcPr>
            <w:tcW w:w="4382"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PARTICIPACIONES Y APORTACIONES</w:t>
            </w:r>
          </w:p>
        </w:tc>
        <w:tc>
          <w:tcPr>
            <w:tcW w:w="3586" w:type="dxa"/>
            <w:tcBorders>
              <w:top w:val="nil"/>
              <w:left w:val="nil"/>
              <w:bottom w:val="nil"/>
              <w:right w:val="nil"/>
            </w:tcBorders>
            <w:shd w:val="clear" w:color="auto" w:fill="auto"/>
            <w:noWrap/>
            <w:vAlign w:val="center"/>
            <w:hideMark/>
          </w:tcPr>
          <w:p w:rsidR="00243E83" w:rsidRPr="00243E83" w:rsidRDefault="00243E83" w:rsidP="00243E83">
            <w:pPr>
              <w:spacing w:after="0" w:line="240" w:lineRule="auto"/>
              <w:jc w:val="right"/>
              <w:rPr>
                <w:rFonts w:ascii="Arial" w:eastAsia="Times New Roman" w:hAnsi="Arial" w:cs="Arial"/>
                <w:b/>
                <w:bCs/>
                <w:color w:val="000000"/>
                <w:sz w:val="20"/>
                <w:szCs w:val="20"/>
                <w:lang w:eastAsia="es-MX"/>
              </w:rPr>
            </w:pPr>
            <w:r w:rsidRPr="00243E83">
              <w:rPr>
                <w:rFonts w:ascii="Arial" w:eastAsia="Times New Roman" w:hAnsi="Arial" w:cs="Arial"/>
                <w:b/>
                <w:bCs/>
                <w:color w:val="000000"/>
                <w:sz w:val="20"/>
                <w:szCs w:val="20"/>
                <w:lang w:eastAsia="es-MX"/>
              </w:rPr>
              <w:t>0.00</w:t>
            </w:r>
          </w:p>
        </w:tc>
        <w:tc>
          <w:tcPr>
            <w:tcW w:w="786"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0%</w:t>
            </w:r>
          </w:p>
        </w:tc>
      </w:tr>
      <w:tr w:rsidR="00243E83" w:rsidRPr="00243E83" w:rsidTr="00243E83">
        <w:trPr>
          <w:trHeight w:val="263"/>
        </w:trPr>
        <w:tc>
          <w:tcPr>
            <w:tcW w:w="4382"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c>
          <w:tcPr>
            <w:tcW w:w="3586" w:type="dxa"/>
            <w:tcBorders>
              <w:top w:val="nil"/>
              <w:left w:val="nil"/>
              <w:bottom w:val="nil"/>
              <w:right w:val="nil"/>
            </w:tcBorders>
            <w:shd w:val="clear" w:color="auto" w:fill="auto"/>
            <w:noWrap/>
            <w:vAlign w:val="bottom"/>
            <w:hideMark/>
          </w:tcPr>
          <w:p w:rsidR="00243E83" w:rsidRPr="00243E83" w:rsidRDefault="00243E83" w:rsidP="00243E83">
            <w:pPr>
              <w:spacing w:after="0" w:line="240" w:lineRule="auto"/>
              <w:rPr>
                <w:rFonts w:ascii="Calibri" w:eastAsia="Times New Roman" w:hAnsi="Calibri" w:cs="Times New Roman"/>
                <w:color w:val="000000"/>
                <w:lang w:eastAsia="es-MX"/>
              </w:rPr>
            </w:pPr>
          </w:p>
        </w:tc>
        <w:tc>
          <w:tcPr>
            <w:tcW w:w="786"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r>
      <w:tr w:rsidR="00243E83" w:rsidRPr="00243E83" w:rsidTr="00243E83">
        <w:trPr>
          <w:trHeight w:val="276"/>
        </w:trPr>
        <w:tc>
          <w:tcPr>
            <w:tcW w:w="4382" w:type="dxa"/>
            <w:tcBorders>
              <w:top w:val="nil"/>
              <w:left w:val="single" w:sz="8" w:space="0" w:color="auto"/>
              <w:bottom w:val="single" w:sz="8" w:space="0" w:color="auto"/>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OTROS INGRESOS</w:t>
            </w:r>
          </w:p>
        </w:tc>
        <w:tc>
          <w:tcPr>
            <w:tcW w:w="3586" w:type="dxa"/>
            <w:tcBorders>
              <w:top w:val="nil"/>
              <w:left w:val="nil"/>
              <w:bottom w:val="single" w:sz="8" w:space="0" w:color="auto"/>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c>
          <w:tcPr>
            <w:tcW w:w="786" w:type="dxa"/>
            <w:tcBorders>
              <w:top w:val="nil"/>
              <w:left w:val="nil"/>
              <w:bottom w:val="single" w:sz="8" w:space="0" w:color="auto"/>
              <w:right w:val="single" w:sz="8" w:space="0" w:color="auto"/>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lang w:eastAsia="es-MX"/>
              </w:rPr>
            </w:pPr>
            <w:r w:rsidRPr="00243E83">
              <w:rPr>
                <w:rFonts w:ascii="Calibri" w:eastAsia="Times New Roman" w:hAnsi="Calibri" w:cs="Times New Roman"/>
                <w:color w:val="000000"/>
                <w:lang w:eastAsia="es-MX"/>
              </w:rPr>
              <w:t> </w:t>
            </w:r>
          </w:p>
        </w:tc>
      </w:tr>
    </w:tbl>
    <w:p w:rsidR="00573121" w:rsidRDefault="00573121" w:rsidP="00DF3B25">
      <w:pPr>
        <w:jc w:val="both"/>
      </w:pPr>
    </w:p>
    <w:p w:rsidR="005B3863" w:rsidRPr="00F43146" w:rsidRDefault="008B2306" w:rsidP="00DF3B25">
      <w:pPr>
        <w:jc w:val="both"/>
      </w:pPr>
      <w:r>
        <w:t xml:space="preserve">Derivado de la gestión de administración de OOMAPAS, por el periodo comprendido del 01 de </w:t>
      </w:r>
      <w:r w:rsidR="00243E83">
        <w:t>Abril</w:t>
      </w:r>
      <w:r w:rsidR="009A2359">
        <w:t xml:space="preserve"> </w:t>
      </w:r>
      <w:r>
        <w:t xml:space="preserve">al </w:t>
      </w:r>
      <w:r w:rsidR="00F34884">
        <w:t>3</w:t>
      </w:r>
      <w:r w:rsidR="00243E83">
        <w:t>0</w:t>
      </w:r>
      <w:r w:rsidR="00F34884">
        <w:t xml:space="preserve"> De </w:t>
      </w:r>
      <w:r w:rsidR="00243E83">
        <w:t>Junio</w:t>
      </w:r>
      <w:r w:rsidR="00F34884">
        <w:t xml:space="preserve"> 2017</w:t>
      </w:r>
      <w:r>
        <w:t xml:space="preserve"> se obtuvieron ingresos por cobros  de Derechos por un importe de $</w:t>
      </w:r>
      <w:r w:rsidR="00F34884">
        <w:t>12´</w:t>
      </w:r>
      <w:r w:rsidR="00243E83">
        <w:t>695,567.73</w:t>
      </w:r>
      <w:r>
        <w:t xml:space="preserve"> que representan un </w:t>
      </w:r>
      <w:r w:rsidR="00243E83">
        <w:t>91</w:t>
      </w:r>
      <w:r>
        <w:t xml:space="preserve">% del total de ingresos, y por el cobro de </w:t>
      </w:r>
      <w:r w:rsidR="00A258AD">
        <w:t>Productos 1%</w:t>
      </w:r>
      <w:r>
        <w:t xml:space="preserve"> y aprovechamientos por  $</w:t>
      </w:r>
      <w:r w:rsidR="00243E83">
        <w:t>1´043,524.63</w:t>
      </w:r>
      <w:r>
        <w:t xml:space="preserve"> que representa un </w:t>
      </w:r>
      <w:r w:rsidR="00243E83">
        <w:t>8</w:t>
      </w:r>
      <w:r>
        <w:t>% del total de los ingresos</w:t>
      </w:r>
      <w:r w:rsidR="00243E83">
        <w:t>.</w:t>
      </w:r>
    </w:p>
    <w:p w:rsidR="00DF3B25" w:rsidRDefault="00DF3B25" w:rsidP="00DF3B25">
      <w:pPr>
        <w:jc w:val="both"/>
      </w:pPr>
      <w:r w:rsidRPr="00F43146">
        <w:t xml:space="preserve">B) En </w:t>
      </w:r>
      <w:r w:rsidR="005B3863" w:rsidRPr="00F43146">
        <w:t>el</w:t>
      </w:r>
      <w:r w:rsidRPr="00F43146">
        <w:t xml:space="preserve"> periodo del ejercicio </w:t>
      </w:r>
      <w:r w:rsidR="005B3863" w:rsidRPr="00F43146">
        <w:t xml:space="preserve">de </w:t>
      </w:r>
      <w:r w:rsidR="00243E83">
        <w:t>Abril</w:t>
      </w:r>
      <w:r w:rsidR="00F43146">
        <w:t xml:space="preserve"> a </w:t>
      </w:r>
      <w:r w:rsidR="00243E83">
        <w:t>Junio</w:t>
      </w:r>
      <w:r w:rsidR="005B3863" w:rsidRPr="00F43146">
        <w:t xml:space="preserve"> del 2016</w:t>
      </w:r>
      <w:r w:rsidRPr="00F43146">
        <w:t xml:space="preserve"> los egresos se integran como sigue:</w:t>
      </w:r>
    </w:p>
    <w:tbl>
      <w:tblPr>
        <w:tblW w:w="7280" w:type="dxa"/>
        <w:tblInd w:w="-10" w:type="dxa"/>
        <w:tblCellMar>
          <w:left w:w="70" w:type="dxa"/>
          <w:right w:w="70" w:type="dxa"/>
        </w:tblCellMar>
        <w:tblLook w:val="04A0" w:firstRow="1" w:lastRow="0" w:firstColumn="1" w:lastColumn="0" w:noHBand="0" w:noVBand="1"/>
      </w:tblPr>
      <w:tblGrid>
        <w:gridCol w:w="3920"/>
        <w:gridCol w:w="2880"/>
        <w:gridCol w:w="771"/>
      </w:tblGrid>
      <w:tr w:rsidR="00243E83" w:rsidRPr="00243E83" w:rsidTr="00243E83">
        <w:trPr>
          <w:trHeight w:val="315"/>
        </w:trPr>
        <w:tc>
          <w:tcPr>
            <w:tcW w:w="39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43E83" w:rsidRPr="00243E83" w:rsidRDefault="00243E83" w:rsidP="00243E83">
            <w:pPr>
              <w:spacing w:after="0" w:line="240" w:lineRule="auto"/>
              <w:jc w:val="center"/>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CONCEPTO</w:t>
            </w:r>
          </w:p>
        </w:tc>
        <w:tc>
          <w:tcPr>
            <w:tcW w:w="336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243E83" w:rsidRPr="00243E83" w:rsidRDefault="00243E83" w:rsidP="00243E83">
            <w:pPr>
              <w:spacing w:after="0" w:line="240" w:lineRule="auto"/>
              <w:jc w:val="center"/>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 xml:space="preserve"> ABRIL A JUNIO 2017</w:t>
            </w:r>
          </w:p>
        </w:tc>
      </w:tr>
      <w:tr w:rsidR="00243E83" w:rsidRPr="00243E83" w:rsidTr="00243E83">
        <w:trPr>
          <w:trHeight w:val="315"/>
        </w:trPr>
        <w:tc>
          <w:tcPr>
            <w:tcW w:w="3920" w:type="dxa"/>
            <w:vMerge/>
            <w:tcBorders>
              <w:top w:val="single" w:sz="8" w:space="0" w:color="auto"/>
              <w:left w:val="single" w:sz="8" w:space="0" w:color="auto"/>
              <w:bottom w:val="single" w:sz="8" w:space="0" w:color="000000"/>
              <w:right w:val="single" w:sz="8" w:space="0" w:color="auto"/>
            </w:tcBorders>
            <w:vAlign w:val="center"/>
            <w:hideMark/>
          </w:tcPr>
          <w:p w:rsidR="00243E83" w:rsidRPr="00243E83" w:rsidRDefault="00243E83" w:rsidP="00243E83">
            <w:pPr>
              <w:spacing w:after="0" w:line="240" w:lineRule="auto"/>
              <w:rPr>
                <w:rFonts w:ascii="Calibri" w:eastAsia="Times New Roman" w:hAnsi="Calibri" w:cs="Times New Roman"/>
                <w:color w:val="000000"/>
                <w:sz w:val="18"/>
                <w:szCs w:val="18"/>
                <w:lang w:eastAsia="es-MX"/>
              </w:rPr>
            </w:pPr>
          </w:p>
        </w:tc>
        <w:tc>
          <w:tcPr>
            <w:tcW w:w="2880"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center"/>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 xml:space="preserve"> IMPORTE </w:t>
            </w:r>
          </w:p>
        </w:tc>
        <w:tc>
          <w:tcPr>
            <w:tcW w:w="480" w:type="dxa"/>
            <w:tcBorders>
              <w:top w:val="nil"/>
              <w:left w:val="nil"/>
              <w:bottom w:val="single" w:sz="8" w:space="0" w:color="auto"/>
              <w:right w:val="single" w:sz="8" w:space="0" w:color="auto"/>
            </w:tcBorders>
            <w:shd w:val="clear" w:color="auto" w:fill="auto"/>
            <w:noWrap/>
            <w:vAlign w:val="center"/>
            <w:hideMark/>
          </w:tcPr>
          <w:p w:rsidR="00243E83" w:rsidRPr="00243E83" w:rsidRDefault="00243E83" w:rsidP="00243E83">
            <w:pPr>
              <w:spacing w:after="0" w:line="240" w:lineRule="auto"/>
              <w:jc w:val="center"/>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 xml:space="preserve"> % </w:t>
            </w:r>
          </w:p>
        </w:tc>
      </w:tr>
      <w:tr w:rsidR="00243E83" w:rsidRPr="00243E83" w:rsidTr="00243E83">
        <w:trPr>
          <w:trHeight w:val="300"/>
        </w:trPr>
        <w:tc>
          <w:tcPr>
            <w:tcW w:w="3920"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EGRESOS</w:t>
            </w:r>
          </w:p>
        </w:tc>
        <w:tc>
          <w:tcPr>
            <w:tcW w:w="2880" w:type="dxa"/>
            <w:tcBorders>
              <w:top w:val="single" w:sz="8" w:space="0" w:color="auto"/>
              <w:left w:val="single" w:sz="8" w:space="0" w:color="auto"/>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b/>
                <w:bCs/>
                <w:color w:val="000000"/>
                <w:sz w:val="16"/>
                <w:szCs w:val="16"/>
                <w:lang w:eastAsia="es-MX"/>
              </w:rPr>
            </w:pPr>
            <w:r w:rsidRPr="00243E83">
              <w:rPr>
                <w:rFonts w:ascii="Calibri" w:eastAsia="Times New Roman" w:hAnsi="Calibri" w:cs="Times New Roman"/>
                <w:b/>
                <w:bCs/>
                <w:color w:val="000000"/>
                <w:sz w:val="16"/>
                <w:szCs w:val="16"/>
                <w:lang w:eastAsia="es-MX"/>
              </w:rPr>
              <w:t>16,589,069.95</w:t>
            </w:r>
          </w:p>
        </w:tc>
        <w:tc>
          <w:tcPr>
            <w:tcW w:w="480"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100.00%</w:t>
            </w:r>
          </w:p>
        </w:tc>
      </w:tr>
      <w:tr w:rsidR="00243E83" w:rsidRPr="00243E83" w:rsidTr="00243E83">
        <w:trPr>
          <w:trHeight w:val="300"/>
        </w:trPr>
        <w:tc>
          <w:tcPr>
            <w:tcW w:w="3920"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 </w:t>
            </w:r>
          </w:p>
        </w:tc>
        <w:tc>
          <w:tcPr>
            <w:tcW w:w="2880" w:type="dxa"/>
            <w:tcBorders>
              <w:top w:val="nil"/>
              <w:left w:val="single" w:sz="8" w:space="0" w:color="auto"/>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sz w:val="16"/>
                <w:szCs w:val="16"/>
                <w:lang w:eastAsia="es-MX"/>
              </w:rPr>
            </w:pPr>
            <w:r w:rsidRPr="00243E83">
              <w:rPr>
                <w:rFonts w:ascii="Calibri" w:eastAsia="Times New Roman" w:hAnsi="Calibri" w:cs="Times New Roman"/>
                <w:color w:val="000000"/>
                <w:sz w:val="16"/>
                <w:szCs w:val="16"/>
                <w:lang w:eastAsia="es-MX"/>
              </w:rPr>
              <w:t> </w:t>
            </w:r>
          </w:p>
        </w:tc>
        <w:tc>
          <w:tcPr>
            <w:tcW w:w="480"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 </w:t>
            </w:r>
          </w:p>
        </w:tc>
      </w:tr>
      <w:tr w:rsidR="00243E83" w:rsidRPr="00243E83" w:rsidTr="00243E83">
        <w:trPr>
          <w:trHeight w:val="300"/>
        </w:trPr>
        <w:tc>
          <w:tcPr>
            <w:tcW w:w="3920"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SERVICIOS PERSONALES</w:t>
            </w:r>
          </w:p>
        </w:tc>
        <w:tc>
          <w:tcPr>
            <w:tcW w:w="2880" w:type="dxa"/>
            <w:tcBorders>
              <w:top w:val="nil"/>
              <w:left w:val="single" w:sz="8" w:space="0" w:color="auto"/>
              <w:bottom w:val="nil"/>
              <w:right w:val="single" w:sz="8" w:space="0" w:color="auto"/>
            </w:tcBorders>
            <w:shd w:val="clear" w:color="000000" w:fill="FFFFFF"/>
            <w:noWrap/>
            <w:vAlign w:val="center"/>
            <w:hideMark/>
          </w:tcPr>
          <w:p w:rsidR="00243E83" w:rsidRPr="00243E83" w:rsidRDefault="00243E83" w:rsidP="00243E83">
            <w:pPr>
              <w:spacing w:after="0" w:line="240" w:lineRule="auto"/>
              <w:jc w:val="right"/>
              <w:rPr>
                <w:rFonts w:ascii="Arial" w:eastAsia="Times New Roman" w:hAnsi="Arial" w:cs="Arial"/>
                <w:b/>
                <w:bCs/>
                <w:color w:val="000000"/>
                <w:sz w:val="16"/>
                <w:szCs w:val="16"/>
                <w:lang w:eastAsia="es-MX"/>
              </w:rPr>
            </w:pPr>
            <w:r w:rsidRPr="00243E83">
              <w:rPr>
                <w:rFonts w:ascii="Arial" w:eastAsia="Times New Roman" w:hAnsi="Arial" w:cs="Arial"/>
                <w:b/>
                <w:bCs/>
                <w:color w:val="000000"/>
                <w:sz w:val="16"/>
                <w:szCs w:val="16"/>
                <w:lang w:eastAsia="es-MX"/>
              </w:rPr>
              <w:t>7,938,397.17</w:t>
            </w:r>
          </w:p>
        </w:tc>
        <w:tc>
          <w:tcPr>
            <w:tcW w:w="480"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47.85%</w:t>
            </w:r>
          </w:p>
        </w:tc>
      </w:tr>
      <w:tr w:rsidR="00243E83" w:rsidRPr="00243E83" w:rsidTr="00243E83">
        <w:trPr>
          <w:trHeight w:val="300"/>
        </w:trPr>
        <w:tc>
          <w:tcPr>
            <w:tcW w:w="3920"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MATERIALES Y SUMINISTROS</w:t>
            </w:r>
          </w:p>
        </w:tc>
        <w:tc>
          <w:tcPr>
            <w:tcW w:w="2880" w:type="dxa"/>
            <w:tcBorders>
              <w:top w:val="nil"/>
              <w:left w:val="single" w:sz="8" w:space="0" w:color="auto"/>
              <w:bottom w:val="nil"/>
              <w:right w:val="single" w:sz="8" w:space="0" w:color="auto"/>
            </w:tcBorders>
            <w:shd w:val="clear" w:color="000000" w:fill="FFFFFF"/>
            <w:noWrap/>
            <w:vAlign w:val="center"/>
            <w:hideMark/>
          </w:tcPr>
          <w:p w:rsidR="00243E83" w:rsidRPr="00243E83" w:rsidRDefault="00243E83" w:rsidP="00243E83">
            <w:pPr>
              <w:spacing w:after="0" w:line="240" w:lineRule="auto"/>
              <w:jc w:val="right"/>
              <w:rPr>
                <w:rFonts w:ascii="Arial" w:eastAsia="Times New Roman" w:hAnsi="Arial" w:cs="Arial"/>
                <w:b/>
                <w:bCs/>
                <w:color w:val="000000"/>
                <w:sz w:val="16"/>
                <w:szCs w:val="16"/>
                <w:lang w:eastAsia="es-MX"/>
              </w:rPr>
            </w:pPr>
            <w:r w:rsidRPr="00243E83">
              <w:rPr>
                <w:rFonts w:ascii="Arial" w:eastAsia="Times New Roman" w:hAnsi="Arial" w:cs="Arial"/>
                <w:b/>
                <w:bCs/>
                <w:color w:val="000000"/>
                <w:sz w:val="16"/>
                <w:szCs w:val="16"/>
                <w:lang w:eastAsia="es-MX"/>
              </w:rPr>
              <w:t>747,524.97</w:t>
            </w:r>
          </w:p>
        </w:tc>
        <w:tc>
          <w:tcPr>
            <w:tcW w:w="480"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4.51%</w:t>
            </w:r>
          </w:p>
        </w:tc>
      </w:tr>
      <w:tr w:rsidR="00243E83" w:rsidRPr="00243E83" w:rsidTr="00243E83">
        <w:trPr>
          <w:trHeight w:val="300"/>
        </w:trPr>
        <w:tc>
          <w:tcPr>
            <w:tcW w:w="3920"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SERVICIOS GENERALES</w:t>
            </w:r>
          </w:p>
        </w:tc>
        <w:tc>
          <w:tcPr>
            <w:tcW w:w="2880" w:type="dxa"/>
            <w:tcBorders>
              <w:top w:val="nil"/>
              <w:left w:val="single" w:sz="8" w:space="0" w:color="auto"/>
              <w:bottom w:val="nil"/>
              <w:right w:val="single" w:sz="8" w:space="0" w:color="auto"/>
            </w:tcBorders>
            <w:shd w:val="clear" w:color="000000" w:fill="FFFFFF"/>
            <w:noWrap/>
            <w:vAlign w:val="center"/>
            <w:hideMark/>
          </w:tcPr>
          <w:p w:rsidR="00243E83" w:rsidRPr="00243E83" w:rsidRDefault="00243E83" w:rsidP="00243E83">
            <w:pPr>
              <w:spacing w:after="0" w:line="240" w:lineRule="auto"/>
              <w:jc w:val="right"/>
              <w:rPr>
                <w:rFonts w:ascii="Arial" w:eastAsia="Times New Roman" w:hAnsi="Arial" w:cs="Arial"/>
                <w:b/>
                <w:bCs/>
                <w:color w:val="000000"/>
                <w:sz w:val="16"/>
                <w:szCs w:val="16"/>
                <w:lang w:eastAsia="es-MX"/>
              </w:rPr>
            </w:pPr>
            <w:r w:rsidRPr="00243E83">
              <w:rPr>
                <w:rFonts w:ascii="Arial" w:eastAsia="Times New Roman" w:hAnsi="Arial" w:cs="Arial"/>
                <w:b/>
                <w:bCs/>
                <w:color w:val="000000"/>
                <w:sz w:val="16"/>
                <w:szCs w:val="16"/>
                <w:lang w:eastAsia="es-MX"/>
              </w:rPr>
              <w:t>6,362,068.17</w:t>
            </w:r>
          </w:p>
        </w:tc>
        <w:tc>
          <w:tcPr>
            <w:tcW w:w="480"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38.35%</w:t>
            </w:r>
          </w:p>
        </w:tc>
      </w:tr>
      <w:tr w:rsidR="00243E83" w:rsidRPr="00243E83" w:rsidTr="00243E83">
        <w:trPr>
          <w:trHeight w:val="300"/>
        </w:trPr>
        <w:tc>
          <w:tcPr>
            <w:tcW w:w="3920"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TRANSFERENCIAS Y ASIGNACIONES</w:t>
            </w:r>
          </w:p>
        </w:tc>
        <w:tc>
          <w:tcPr>
            <w:tcW w:w="2880" w:type="dxa"/>
            <w:tcBorders>
              <w:top w:val="nil"/>
              <w:left w:val="single" w:sz="8" w:space="0" w:color="auto"/>
              <w:bottom w:val="nil"/>
              <w:right w:val="single" w:sz="8" w:space="0" w:color="auto"/>
            </w:tcBorders>
            <w:shd w:val="clear" w:color="000000" w:fill="FFFFFF"/>
            <w:noWrap/>
            <w:vAlign w:val="center"/>
            <w:hideMark/>
          </w:tcPr>
          <w:p w:rsidR="00243E83" w:rsidRPr="00243E83" w:rsidRDefault="00243E83" w:rsidP="00243E83">
            <w:pPr>
              <w:spacing w:after="0" w:line="240" w:lineRule="auto"/>
              <w:jc w:val="right"/>
              <w:rPr>
                <w:rFonts w:ascii="Arial" w:eastAsia="Times New Roman" w:hAnsi="Arial" w:cs="Arial"/>
                <w:b/>
                <w:bCs/>
                <w:color w:val="000000"/>
                <w:sz w:val="16"/>
                <w:szCs w:val="16"/>
                <w:lang w:eastAsia="es-MX"/>
              </w:rPr>
            </w:pPr>
            <w:r w:rsidRPr="00243E83">
              <w:rPr>
                <w:rFonts w:ascii="Arial" w:eastAsia="Times New Roman" w:hAnsi="Arial" w:cs="Arial"/>
                <w:b/>
                <w:bCs/>
                <w:color w:val="000000"/>
                <w:sz w:val="16"/>
                <w:szCs w:val="16"/>
                <w:lang w:eastAsia="es-MX"/>
              </w:rPr>
              <w:t>0.00</w:t>
            </w:r>
          </w:p>
        </w:tc>
        <w:tc>
          <w:tcPr>
            <w:tcW w:w="480"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0.00%</w:t>
            </w:r>
          </w:p>
        </w:tc>
      </w:tr>
      <w:tr w:rsidR="00243E83" w:rsidRPr="00243E83" w:rsidTr="00243E83">
        <w:trPr>
          <w:trHeight w:val="300"/>
        </w:trPr>
        <w:tc>
          <w:tcPr>
            <w:tcW w:w="3920"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BIENES MUEBLES INMUEBLES E INTANGIBLES</w:t>
            </w:r>
          </w:p>
        </w:tc>
        <w:tc>
          <w:tcPr>
            <w:tcW w:w="2880" w:type="dxa"/>
            <w:tcBorders>
              <w:top w:val="nil"/>
              <w:left w:val="single" w:sz="8" w:space="0" w:color="auto"/>
              <w:bottom w:val="nil"/>
              <w:right w:val="single" w:sz="8" w:space="0" w:color="auto"/>
            </w:tcBorders>
            <w:shd w:val="clear" w:color="000000" w:fill="FFFFFF"/>
            <w:noWrap/>
            <w:vAlign w:val="center"/>
            <w:hideMark/>
          </w:tcPr>
          <w:p w:rsidR="00243E83" w:rsidRPr="00243E83" w:rsidRDefault="00243E83" w:rsidP="00243E83">
            <w:pPr>
              <w:spacing w:after="0" w:line="240" w:lineRule="auto"/>
              <w:jc w:val="right"/>
              <w:rPr>
                <w:rFonts w:ascii="Arial" w:eastAsia="Times New Roman" w:hAnsi="Arial" w:cs="Arial"/>
                <w:b/>
                <w:bCs/>
                <w:color w:val="000000"/>
                <w:sz w:val="16"/>
                <w:szCs w:val="16"/>
                <w:lang w:eastAsia="es-MX"/>
              </w:rPr>
            </w:pPr>
            <w:r w:rsidRPr="00243E83">
              <w:rPr>
                <w:rFonts w:ascii="Arial" w:eastAsia="Times New Roman" w:hAnsi="Arial" w:cs="Arial"/>
                <w:b/>
                <w:bCs/>
                <w:color w:val="000000"/>
                <w:sz w:val="16"/>
                <w:szCs w:val="16"/>
                <w:lang w:eastAsia="es-MX"/>
              </w:rPr>
              <w:t>387,954.09</w:t>
            </w:r>
          </w:p>
        </w:tc>
        <w:tc>
          <w:tcPr>
            <w:tcW w:w="480"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2.34%</w:t>
            </w:r>
          </w:p>
        </w:tc>
      </w:tr>
      <w:tr w:rsidR="00243E83" w:rsidRPr="00243E83" w:rsidTr="00243E83">
        <w:trPr>
          <w:trHeight w:val="300"/>
        </w:trPr>
        <w:tc>
          <w:tcPr>
            <w:tcW w:w="3920" w:type="dxa"/>
            <w:tcBorders>
              <w:top w:val="nil"/>
              <w:left w:val="single" w:sz="8" w:space="0" w:color="auto"/>
              <w:bottom w:val="nil"/>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 xml:space="preserve">   INVERSION PUBLICA</w:t>
            </w:r>
          </w:p>
        </w:tc>
        <w:tc>
          <w:tcPr>
            <w:tcW w:w="2880" w:type="dxa"/>
            <w:tcBorders>
              <w:top w:val="nil"/>
              <w:left w:val="single" w:sz="8" w:space="0" w:color="auto"/>
              <w:bottom w:val="nil"/>
              <w:right w:val="single" w:sz="8" w:space="0" w:color="auto"/>
            </w:tcBorders>
            <w:shd w:val="clear" w:color="000000" w:fill="FFFFFF"/>
            <w:noWrap/>
            <w:vAlign w:val="center"/>
            <w:hideMark/>
          </w:tcPr>
          <w:p w:rsidR="00243E83" w:rsidRPr="00243E83" w:rsidRDefault="00243E83" w:rsidP="00243E83">
            <w:pPr>
              <w:spacing w:after="0" w:line="240" w:lineRule="auto"/>
              <w:jc w:val="right"/>
              <w:rPr>
                <w:rFonts w:ascii="Arial" w:eastAsia="Times New Roman" w:hAnsi="Arial" w:cs="Arial"/>
                <w:b/>
                <w:bCs/>
                <w:color w:val="000000"/>
                <w:sz w:val="16"/>
                <w:szCs w:val="16"/>
                <w:lang w:eastAsia="es-MX"/>
              </w:rPr>
            </w:pPr>
            <w:r w:rsidRPr="00243E83">
              <w:rPr>
                <w:rFonts w:ascii="Arial" w:eastAsia="Times New Roman" w:hAnsi="Arial" w:cs="Arial"/>
                <w:b/>
                <w:bCs/>
                <w:color w:val="000000"/>
                <w:sz w:val="16"/>
                <w:szCs w:val="16"/>
                <w:lang w:eastAsia="es-MX"/>
              </w:rPr>
              <w:t>1,153,125.55</w:t>
            </w:r>
          </w:p>
        </w:tc>
        <w:tc>
          <w:tcPr>
            <w:tcW w:w="480" w:type="dxa"/>
            <w:tcBorders>
              <w:top w:val="nil"/>
              <w:left w:val="nil"/>
              <w:bottom w:val="nil"/>
              <w:right w:val="single" w:sz="8" w:space="0" w:color="auto"/>
            </w:tcBorders>
            <w:shd w:val="clear" w:color="auto" w:fill="auto"/>
            <w:noWrap/>
            <w:vAlign w:val="center"/>
            <w:hideMark/>
          </w:tcPr>
          <w:p w:rsidR="00243E83" w:rsidRPr="00243E83" w:rsidRDefault="00243E83" w:rsidP="00243E83">
            <w:pPr>
              <w:spacing w:after="0" w:line="240" w:lineRule="auto"/>
              <w:jc w:val="right"/>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6.95%</w:t>
            </w:r>
          </w:p>
        </w:tc>
      </w:tr>
      <w:tr w:rsidR="00243E83" w:rsidRPr="00243E83" w:rsidTr="00243E83">
        <w:trPr>
          <w:trHeight w:val="315"/>
        </w:trPr>
        <w:tc>
          <w:tcPr>
            <w:tcW w:w="3920" w:type="dxa"/>
            <w:tcBorders>
              <w:top w:val="nil"/>
              <w:left w:val="single" w:sz="8" w:space="0" w:color="auto"/>
              <w:bottom w:val="single" w:sz="8" w:space="0" w:color="auto"/>
              <w:right w:val="nil"/>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OBRA PUBLICA EN BIENES DE DOMINIO PUBLICO</w:t>
            </w:r>
          </w:p>
        </w:tc>
        <w:tc>
          <w:tcPr>
            <w:tcW w:w="2880" w:type="dxa"/>
            <w:tcBorders>
              <w:top w:val="nil"/>
              <w:left w:val="single" w:sz="8" w:space="0" w:color="auto"/>
              <w:bottom w:val="single" w:sz="8" w:space="0" w:color="auto"/>
              <w:right w:val="single" w:sz="8" w:space="0" w:color="auto"/>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 </w:t>
            </w:r>
          </w:p>
        </w:tc>
        <w:tc>
          <w:tcPr>
            <w:tcW w:w="480" w:type="dxa"/>
            <w:tcBorders>
              <w:top w:val="nil"/>
              <w:left w:val="nil"/>
              <w:bottom w:val="single" w:sz="8" w:space="0" w:color="auto"/>
              <w:right w:val="single" w:sz="8" w:space="0" w:color="auto"/>
            </w:tcBorders>
            <w:shd w:val="clear" w:color="auto" w:fill="auto"/>
            <w:noWrap/>
            <w:vAlign w:val="center"/>
            <w:hideMark/>
          </w:tcPr>
          <w:p w:rsidR="00243E83" w:rsidRPr="00243E83" w:rsidRDefault="00243E83" w:rsidP="00243E83">
            <w:pPr>
              <w:spacing w:after="0" w:line="240" w:lineRule="auto"/>
              <w:rPr>
                <w:rFonts w:ascii="Calibri" w:eastAsia="Times New Roman" w:hAnsi="Calibri" w:cs="Times New Roman"/>
                <w:color w:val="000000"/>
                <w:sz w:val="18"/>
                <w:szCs w:val="18"/>
                <w:lang w:eastAsia="es-MX"/>
              </w:rPr>
            </w:pPr>
            <w:r w:rsidRPr="00243E83">
              <w:rPr>
                <w:rFonts w:ascii="Calibri" w:eastAsia="Times New Roman" w:hAnsi="Calibri" w:cs="Times New Roman"/>
                <w:color w:val="000000"/>
                <w:sz w:val="18"/>
                <w:szCs w:val="18"/>
                <w:lang w:eastAsia="es-MX"/>
              </w:rPr>
              <w:t> </w:t>
            </w:r>
          </w:p>
        </w:tc>
      </w:tr>
    </w:tbl>
    <w:p w:rsidR="00DF3B25" w:rsidRDefault="00DF3B25" w:rsidP="00DF3B25">
      <w:pPr>
        <w:jc w:val="both"/>
      </w:pPr>
    </w:p>
    <w:p w:rsidR="00F73761" w:rsidRDefault="00F73761" w:rsidP="00E43DFF">
      <w:r>
        <w:t xml:space="preserve">En </w:t>
      </w:r>
      <w:r w:rsidR="00F43146">
        <w:t>el</w:t>
      </w:r>
      <w:r>
        <w:t xml:space="preserve"> periodo de </w:t>
      </w:r>
      <w:r w:rsidR="00133803">
        <w:t>Abril</w:t>
      </w:r>
      <w:r>
        <w:t xml:space="preserve"> a </w:t>
      </w:r>
      <w:r w:rsidR="00133803">
        <w:t>Junio</w:t>
      </w:r>
      <w:r w:rsidR="007A3E54">
        <w:t xml:space="preserve"> 2017</w:t>
      </w:r>
      <w:r w:rsidR="00AC5998">
        <w:t xml:space="preserve"> al</w:t>
      </w:r>
      <w:r>
        <w:t xml:space="preserve"> cap</w:t>
      </w:r>
      <w:r w:rsidR="00AC5998">
        <w:t>í</w:t>
      </w:r>
      <w:r>
        <w:t>tulo de servicios personales es el concepto de gastos  al que se le designa m</w:t>
      </w:r>
      <w:r w:rsidR="00AC5998">
        <w:t>ás</w:t>
      </w:r>
      <w:r>
        <w:t xml:space="preserve"> presupuesto con un importe de $</w:t>
      </w:r>
      <w:r w:rsidR="00133803">
        <w:rPr>
          <w:rFonts w:ascii="Calibri" w:eastAsia="Times New Roman" w:hAnsi="Calibri" w:cs="Times New Roman"/>
          <w:color w:val="000000"/>
          <w:sz w:val="18"/>
          <w:szCs w:val="18"/>
          <w:lang w:eastAsia="es-MX"/>
        </w:rPr>
        <w:t>7´938,397.17</w:t>
      </w:r>
      <w:r w:rsidR="00F43146" w:rsidRPr="00F43146">
        <w:rPr>
          <w:rFonts w:ascii="Calibri" w:eastAsia="Times New Roman" w:hAnsi="Calibri" w:cs="Times New Roman"/>
          <w:color w:val="000000"/>
          <w:sz w:val="18"/>
          <w:szCs w:val="18"/>
          <w:lang w:eastAsia="es-MX"/>
        </w:rPr>
        <w:t xml:space="preserve"> </w:t>
      </w:r>
      <w:r>
        <w:t xml:space="preserve"> que representa un </w:t>
      </w:r>
      <w:r w:rsidR="00133803">
        <w:t>48</w:t>
      </w:r>
      <w:r w:rsidR="00AC5998">
        <w:t>%</w:t>
      </w:r>
      <w:r>
        <w:t xml:space="preserve"> en dicho periodo del presupuesto ejercido, y sumado con lo ejercido en el capítulo de servicios </w:t>
      </w:r>
      <w:r>
        <w:lastRenderedPageBreak/>
        <w:t>Generales por un importe de $</w:t>
      </w:r>
      <w:r w:rsidR="00133803" w:rsidRPr="00243E83">
        <w:rPr>
          <w:rFonts w:ascii="Arial" w:eastAsia="Times New Roman" w:hAnsi="Arial" w:cs="Arial"/>
          <w:b/>
          <w:bCs/>
          <w:color w:val="000000"/>
          <w:sz w:val="16"/>
          <w:szCs w:val="16"/>
          <w:lang w:eastAsia="es-MX"/>
        </w:rPr>
        <w:t>6,362,068.17</w:t>
      </w:r>
      <w:r w:rsidR="00133803">
        <w:rPr>
          <w:rFonts w:ascii="Arial" w:eastAsia="Times New Roman" w:hAnsi="Arial" w:cs="Arial"/>
          <w:b/>
          <w:bCs/>
          <w:color w:val="000000"/>
          <w:sz w:val="16"/>
          <w:szCs w:val="16"/>
          <w:lang w:eastAsia="es-MX"/>
        </w:rPr>
        <w:t xml:space="preserve"> </w:t>
      </w:r>
      <w:r w:rsidR="00AC5998">
        <w:t xml:space="preserve">que representa un </w:t>
      </w:r>
      <w:r w:rsidR="00415942">
        <w:t>3</w:t>
      </w:r>
      <w:r w:rsidR="00133803">
        <w:t>8</w:t>
      </w:r>
      <w:r>
        <w:t xml:space="preserve">% y ambos suman para el </w:t>
      </w:r>
      <w:r w:rsidR="00AC5998">
        <w:t>ejercido en trimestre</w:t>
      </w:r>
      <w:r>
        <w:t xml:space="preserve"> el </w:t>
      </w:r>
      <w:r w:rsidR="00087260">
        <w:t>8</w:t>
      </w:r>
      <w:r w:rsidR="007A3E54">
        <w:t>6</w:t>
      </w:r>
      <w:r>
        <w:t>% del presupuesto total</w:t>
      </w:r>
      <w:r w:rsidR="00AC5998">
        <w:t>.</w:t>
      </w:r>
      <w:r w:rsidR="00317C69" w:rsidRPr="00317C69">
        <w:rPr>
          <w:noProof/>
          <w:lang w:eastAsia="es-MX"/>
        </w:rPr>
        <w:t xml:space="preserve"> </w:t>
      </w:r>
    </w:p>
    <w:p w:rsidR="002B4681" w:rsidRDefault="00F73761" w:rsidP="00E43DFF">
      <w:r>
        <w:t xml:space="preserve">En el capítulo de Inversión en infraestructura se ejerció en </w:t>
      </w:r>
      <w:r w:rsidR="00AC5998">
        <w:t>e</w:t>
      </w:r>
      <w:r>
        <w:t>l per</w:t>
      </w:r>
      <w:r w:rsidR="00F53223">
        <w:t>í</w:t>
      </w:r>
      <w:r>
        <w:t>odo  un importe de $</w:t>
      </w:r>
      <w:r w:rsidR="00133803" w:rsidRPr="00243E83">
        <w:rPr>
          <w:rFonts w:ascii="Arial" w:eastAsia="Times New Roman" w:hAnsi="Arial" w:cs="Arial"/>
          <w:b/>
          <w:bCs/>
          <w:color w:val="000000"/>
          <w:sz w:val="16"/>
          <w:szCs w:val="16"/>
          <w:lang w:eastAsia="es-MX"/>
        </w:rPr>
        <w:t>1,153,125.55</w:t>
      </w:r>
      <w:r>
        <w:t xml:space="preserve">, que representa el </w:t>
      </w:r>
      <w:r w:rsidR="00133803">
        <w:t>7</w:t>
      </w:r>
      <w:r>
        <w:t xml:space="preserve">% del total ejercido en dicho periodo, y las obras de mayor cuantía fueron el mantenimiento de la red de agua potable y alcantarillado e instalación de agua . </w:t>
      </w:r>
      <w:r w:rsidR="00087260">
        <w:t xml:space="preserve"> Se invirtió en mantenimiento de redes de drenaje ya que se aplicaron recursos extraordinarios del programa APAUR .</w:t>
      </w:r>
    </w:p>
    <w:p w:rsidR="00415942" w:rsidRDefault="00415942" w:rsidP="009E19C7">
      <w:pPr>
        <w:rPr>
          <w:b/>
          <w:sz w:val="24"/>
          <w:szCs w:val="24"/>
        </w:rPr>
      </w:pPr>
    </w:p>
    <w:p w:rsidR="009E19C7" w:rsidRPr="00692034" w:rsidRDefault="009E19C7" w:rsidP="009E19C7">
      <w:pPr>
        <w:rPr>
          <w:b/>
          <w:sz w:val="24"/>
          <w:szCs w:val="24"/>
        </w:rPr>
      </w:pPr>
      <w:r w:rsidRPr="00692034">
        <w:rPr>
          <w:b/>
          <w:sz w:val="24"/>
          <w:szCs w:val="24"/>
        </w:rPr>
        <w:t>D.  NOTAS AL ESTADO DE FLUJOS DE EFECTIVO</w:t>
      </w:r>
    </w:p>
    <w:p w:rsidR="009E19C7" w:rsidRPr="00692034" w:rsidRDefault="009E19C7" w:rsidP="00B13F75">
      <w:pPr>
        <w:rPr>
          <w:sz w:val="24"/>
          <w:szCs w:val="24"/>
        </w:rPr>
      </w:pPr>
      <w:r w:rsidRPr="00692034">
        <w:rPr>
          <w:b/>
        </w:rPr>
        <w:t>NOTA  14.  EFECTIVO Y EQUIVALENTES</w:t>
      </w:r>
    </w:p>
    <w:p w:rsidR="009E19C7" w:rsidRDefault="009E19C7" w:rsidP="009E19C7">
      <w:pPr>
        <w:jc w:val="both"/>
        <w:rPr>
          <w:sz w:val="24"/>
          <w:szCs w:val="24"/>
        </w:rPr>
      </w:pPr>
      <w:r w:rsidRPr="00692034">
        <w:rPr>
          <w:sz w:val="24"/>
          <w:szCs w:val="24"/>
        </w:rPr>
        <w:t xml:space="preserve">El análisis </w:t>
      </w:r>
      <w:r w:rsidR="00C57B02">
        <w:rPr>
          <w:sz w:val="24"/>
          <w:szCs w:val="24"/>
        </w:rPr>
        <w:t>al estado de flujos de efectivo</w:t>
      </w:r>
      <w:r w:rsidRPr="00692034">
        <w:rPr>
          <w:sz w:val="24"/>
          <w:szCs w:val="24"/>
        </w:rPr>
        <w:t xml:space="preserve"> 3</w:t>
      </w:r>
      <w:r w:rsidR="00133803">
        <w:rPr>
          <w:sz w:val="24"/>
          <w:szCs w:val="24"/>
        </w:rPr>
        <w:t>0</w:t>
      </w:r>
      <w:r w:rsidRPr="00692034">
        <w:rPr>
          <w:sz w:val="24"/>
          <w:szCs w:val="24"/>
        </w:rPr>
        <w:t xml:space="preserve"> de </w:t>
      </w:r>
      <w:r w:rsidR="00133803">
        <w:rPr>
          <w:sz w:val="24"/>
          <w:szCs w:val="24"/>
        </w:rPr>
        <w:t>Junio</w:t>
      </w:r>
      <w:r w:rsidR="007A3E54">
        <w:rPr>
          <w:sz w:val="24"/>
          <w:szCs w:val="24"/>
        </w:rPr>
        <w:t xml:space="preserve"> del 2017</w:t>
      </w:r>
      <w:r w:rsidRPr="00692034">
        <w:rPr>
          <w:sz w:val="24"/>
          <w:szCs w:val="24"/>
        </w:rPr>
        <w:t xml:space="preserve">  en la cuenta de efectivo y equivalentes es como sigue:</w:t>
      </w:r>
    </w:p>
    <w:tbl>
      <w:tblPr>
        <w:tblW w:w="7797" w:type="dxa"/>
        <w:tblInd w:w="-10" w:type="dxa"/>
        <w:tblCellMar>
          <w:left w:w="70" w:type="dxa"/>
          <w:right w:w="70" w:type="dxa"/>
        </w:tblCellMar>
        <w:tblLook w:val="04A0" w:firstRow="1" w:lastRow="0" w:firstColumn="1" w:lastColumn="0" w:noHBand="0" w:noVBand="1"/>
      </w:tblPr>
      <w:tblGrid>
        <w:gridCol w:w="5812"/>
        <w:gridCol w:w="1985"/>
      </w:tblGrid>
      <w:tr w:rsidR="00133803" w:rsidRPr="00133803" w:rsidTr="00C57B02">
        <w:trPr>
          <w:trHeight w:val="310"/>
        </w:trPr>
        <w:tc>
          <w:tcPr>
            <w:tcW w:w="5812" w:type="dxa"/>
            <w:vMerge w:val="restart"/>
            <w:tcBorders>
              <w:top w:val="single" w:sz="8" w:space="0" w:color="auto"/>
              <w:left w:val="single" w:sz="8" w:space="0" w:color="auto"/>
              <w:bottom w:val="nil"/>
              <w:right w:val="single" w:sz="8" w:space="0" w:color="auto"/>
            </w:tcBorders>
            <w:shd w:val="clear" w:color="auto" w:fill="auto"/>
            <w:noWrap/>
            <w:vAlign w:val="center"/>
            <w:hideMark/>
          </w:tcPr>
          <w:p w:rsidR="00133803" w:rsidRPr="00133803" w:rsidRDefault="00133803" w:rsidP="00133803">
            <w:pPr>
              <w:spacing w:after="0" w:line="240" w:lineRule="auto"/>
              <w:jc w:val="center"/>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Concepto</w:t>
            </w:r>
          </w:p>
        </w:tc>
        <w:tc>
          <w:tcPr>
            <w:tcW w:w="1985" w:type="dxa"/>
            <w:tcBorders>
              <w:top w:val="single" w:sz="8" w:space="0" w:color="auto"/>
              <w:left w:val="nil"/>
              <w:bottom w:val="single" w:sz="8" w:space="0" w:color="auto"/>
              <w:right w:val="single" w:sz="8" w:space="0" w:color="auto"/>
            </w:tcBorders>
            <w:shd w:val="clear" w:color="auto" w:fill="auto"/>
            <w:noWrap/>
            <w:vAlign w:val="center"/>
            <w:hideMark/>
          </w:tcPr>
          <w:p w:rsidR="00133803" w:rsidRPr="00133803" w:rsidRDefault="00133803" w:rsidP="00133803">
            <w:pPr>
              <w:spacing w:after="0" w:line="240" w:lineRule="auto"/>
              <w:jc w:val="center"/>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JUNIO 2017</w:t>
            </w:r>
          </w:p>
        </w:tc>
      </w:tr>
      <w:tr w:rsidR="00133803" w:rsidRPr="00133803" w:rsidTr="00C57B02">
        <w:trPr>
          <w:trHeight w:val="310"/>
        </w:trPr>
        <w:tc>
          <w:tcPr>
            <w:tcW w:w="5812" w:type="dxa"/>
            <w:vMerge/>
            <w:tcBorders>
              <w:top w:val="single" w:sz="8" w:space="0" w:color="auto"/>
              <w:left w:val="single" w:sz="8" w:space="0" w:color="auto"/>
              <w:bottom w:val="nil"/>
              <w:right w:val="single" w:sz="8" w:space="0" w:color="auto"/>
            </w:tcBorders>
            <w:vAlign w:val="center"/>
            <w:hideMark/>
          </w:tcPr>
          <w:p w:rsidR="00133803" w:rsidRPr="00133803" w:rsidRDefault="00133803" w:rsidP="00133803">
            <w:pPr>
              <w:spacing w:after="0" w:line="240" w:lineRule="auto"/>
              <w:rPr>
                <w:rFonts w:ascii="Calibri" w:eastAsia="Times New Roman" w:hAnsi="Calibri" w:cs="Times New Roman"/>
                <w:color w:val="000000"/>
                <w:lang w:eastAsia="es-MX"/>
              </w:rPr>
            </w:pPr>
          </w:p>
        </w:tc>
        <w:tc>
          <w:tcPr>
            <w:tcW w:w="1985" w:type="dxa"/>
            <w:tcBorders>
              <w:top w:val="nil"/>
              <w:left w:val="nil"/>
              <w:bottom w:val="nil"/>
              <w:right w:val="single" w:sz="8" w:space="0" w:color="auto"/>
            </w:tcBorders>
            <w:shd w:val="clear" w:color="auto" w:fill="auto"/>
            <w:noWrap/>
            <w:vAlign w:val="center"/>
            <w:hideMark/>
          </w:tcPr>
          <w:p w:rsidR="00133803" w:rsidRPr="00133803" w:rsidRDefault="00133803" w:rsidP="00133803">
            <w:pPr>
              <w:spacing w:after="0" w:line="240" w:lineRule="auto"/>
              <w:jc w:val="center"/>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IMPORTE</w:t>
            </w:r>
          </w:p>
        </w:tc>
      </w:tr>
      <w:tr w:rsidR="00133803" w:rsidRPr="00133803" w:rsidTr="00C57B02">
        <w:trPr>
          <w:trHeight w:val="295"/>
        </w:trPr>
        <w:tc>
          <w:tcPr>
            <w:tcW w:w="5812" w:type="dxa"/>
            <w:tcBorders>
              <w:top w:val="single" w:sz="8" w:space="0" w:color="auto"/>
              <w:left w:val="single" w:sz="8" w:space="0" w:color="auto"/>
              <w:bottom w:val="nil"/>
              <w:right w:val="single" w:sz="8" w:space="0" w:color="auto"/>
            </w:tcBorders>
            <w:shd w:val="clear" w:color="auto" w:fill="auto"/>
            <w:noWrap/>
            <w:vAlign w:val="center"/>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SALDO INICIAL</w:t>
            </w:r>
          </w:p>
        </w:tc>
        <w:tc>
          <w:tcPr>
            <w:tcW w:w="1985" w:type="dxa"/>
            <w:tcBorders>
              <w:top w:val="single" w:sz="8" w:space="0" w:color="auto"/>
              <w:left w:val="nil"/>
              <w:bottom w:val="nil"/>
              <w:right w:val="single" w:sz="8" w:space="0" w:color="auto"/>
            </w:tcBorders>
            <w:shd w:val="clear" w:color="auto" w:fill="auto"/>
            <w:noWrap/>
            <w:vAlign w:val="center"/>
            <w:hideMark/>
          </w:tcPr>
          <w:p w:rsidR="00133803" w:rsidRPr="00133803" w:rsidRDefault="00133803" w:rsidP="00133803">
            <w:pPr>
              <w:spacing w:after="0" w:line="240" w:lineRule="auto"/>
              <w:jc w:val="center"/>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720,543.30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center"/>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w:t>
            </w:r>
          </w:p>
        </w:tc>
        <w:tc>
          <w:tcPr>
            <w:tcW w:w="1985" w:type="dxa"/>
            <w:tcBorders>
              <w:top w:val="nil"/>
              <w:left w:val="nil"/>
              <w:bottom w:val="nil"/>
              <w:right w:val="single" w:sz="8" w:space="0" w:color="auto"/>
            </w:tcBorders>
            <w:shd w:val="clear" w:color="auto" w:fill="auto"/>
            <w:noWrap/>
            <w:vAlign w:val="center"/>
            <w:hideMark/>
          </w:tcPr>
          <w:p w:rsidR="00133803" w:rsidRPr="00133803" w:rsidRDefault="00133803" w:rsidP="00133803">
            <w:pPr>
              <w:spacing w:after="0" w:line="240" w:lineRule="auto"/>
              <w:jc w:val="center"/>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center"/>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ORIGEN</w:t>
            </w:r>
          </w:p>
        </w:tc>
        <w:tc>
          <w:tcPr>
            <w:tcW w:w="1985" w:type="dxa"/>
            <w:tcBorders>
              <w:top w:val="nil"/>
              <w:left w:val="nil"/>
              <w:bottom w:val="nil"/>
              <w:right w:val="single" w:sz="8" w:space="0" w:color="auto"/>
            </w:tcBorders>
            <w:shd w:val="clear" w:color="auto" w:fill="auto"/>
            <w:noWrap/>
            <w:vAlign w:val="center"/>
            <w:hideMark/>
          </w:tcPr>
          <w:p w:rsidR="00133803" w:rsidRPr="00133803" w:rsidRDefault="00133803" w:rsidP="00133803">
            <w:pPr>
              <w:spacing w:after="0" w:line="240" w:lineRule="auto"/>
              <w:jc w:val="center"/>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Ingr cobranza</w:t>
            </w:r>
          </w:p>
        </w:tc>
        <w:tc>
          <w:tcPr>
            <w:tcW w:w="1985" w:type="dxa"/>
            <w:tcBorders>
              <w:top w:val="nil"/>
              <w:left w:val="nil"/>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27,918,548.41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Ingr traspasos</w:t>
            </w:r>
          </w:p>
        </w:tc>
        <w:tc>
          <w:tcPr>
            <w:tcW w:w="1985" w:type="dxa"/>
            <w:tcBorders>
              <w:top w:val="nil"/>
              <w:left w:val="nil"/>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1,624,648.00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Ingr traspasos</w:t>
            </w:r>
          </w:p>
        </w:tc>
        <w:tc>
          <w:tcPr>
            <w:tcW w:w="1985" w:type="dxa"/>
            <w:tcBorders>
              <w:top w:val="nil"/>
              <w:left w:val="nil"/>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1,624,648.00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Ingr diversos</w:t>
            </w:r>
          </w:p>
        </w:tc>
        <w:tc>
          <w:tcPr>
            <w:tcW w:w="1985" w:type="dxa"/>
            <w:tcBorders>
              <w:top w:val="nil"/>
              <w:left w:val="nil"/>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3,089,066.68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center"/>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w:t>
            </w:r>
          </w:p>
        </w:tc>
        <w:tc>
          <w:tcPr>
            <w:tcW w:w="1985" w:type="dxa"/>
            <w:tcBorders>
              <w:top w:val="nil"/>
              <w:left w:val="nil"/>
              <w:bottom w:val="nil"/>
              <w:right w:val="single" w:sz="8" w:space="0" w:color="auto"/>
            </w:tcBorders>
            <w:shd w:val="clear" w:color="auto" w:fill="auto"/>
            <w:noWrap/>
            <w:vAlign w:val="center"/>
            <w:hideMark/>
          </w:tcPr>
          <w:p w:rsidR="00133803" w:rsidRPr="00133803" w:rsidRDefault="00133803" w:rsidP="00133803">
            <w:pPr>
              <w:spacing w:after="0" w:line="240" w:lineRule="auto"/>
              <w:jc w:val="right"/>
              <w:rPr>
                <w:rFonts w:ascii="Arial" w:eastAsia="Times New Roman" w:hAnsi="Arial" w:cs="Arial"/>
                <w:b/>
                <w:bCs/>
                <w:color w:val="000000"/>
                <w:sz w:val="16"/>
                <w:szCs w:val="16"/>
                <w:lang w:eastAsia="es-MX"/>
              </w:rPr>
            </w:pPr>
            <w:r w:rsidRPr="00133803">
              <w:rPr>
                <w:rFonts w:ascii="Arial" w:eastAsia="Times New Roman" w:hAnsi="Arial" w:cs="Arial"/>
                <w:b/>
                <w:bCs/>
                <w:color w:val="000000"/>
                <w:sz w:val="16"/>
                <w:szCs w:val="16"/>
                <w:lang w:eastAsia="es-MX"/>
              </w:rPr>
              <w:t>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center"/>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TOTAL INGRESOS</w:t>
            </w:r>
          </w:p>
        </w:tc>
        <w:tc>
          <w:tcPr>
            <w:tcW w:w="1985" w:type="dxa"/>
            <w:tcBorders>
              <w:top w:val="nil"/>
              <w:left w:val="nil"/>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32,632,263.09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center"/>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w:t>
            </w:r>
          </w:p>
        </w:tc>
        <w:tc>
          <w:tcPr>
            <w:tcW w:w="1985" w:type="dxa"/>
            <w:tcBorders>
              <w:top w:val="nil"/>
              <w:left w:val="nil"/>
              <w:bottom w:val="nil"/>
              <w:right w:val="single" w:sz="8" w:space="0" w:color="auto"/>
            </w:tcBorders>
            <w:shd w:val="clear" w:color="auto" w:fill="auto"/>
            <w:noWrap/>
            <w:vAlign w:val="center"/>
            <w:hideMark/>
          </w:tcPr>
          <w:p w:rsidR="00133803" w:rsidRPr="00133803" w:rsidRDefault="00133803" w:rsidP="00133803">
            <w:pPr>
              <w:spacing w:after="0" w:line="240" w:lineRule="auto"/>
              <w:jc w:val="right"/>
              <w:rPr>
                <w:rFonts w:ascii="Arial" w:eastAsia="Times New Roman" w:hAnsi="Arial" w:cs="Arial"/>
                <w:b/>
                <w:bCs/>
                <w:color w:val="000000"/>
                <w:sz w:val="16"/>
                <w:szCs w:val="16"/>
                <w:lang w:eastAsia="es-MX"/>
              </w:rPr>
            </w:pPr>
            <w:r w:rsidRPr="00133803">
              <w:rPr>
                <w:rFonts w:ascii="Arial" w:eastAsia="Times New Roman" w:hAnsi="Arial" w:cs="Arial"/>
                <w:b/>
                <w:bCs/>
                <w:color w:val="000000"/>
                <w:sz w:val="16"/>
                <w:szCs w:val="16"/>
                <w:lang w:eastAsia="es-MX"/>
              </w:rPr>
              <w:t>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center"/>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DISPONIBLE</w:t>
            </w:r>
          </w:p>
        </w:tc>
        <w:tc>
          <w:tcPr>
            <w:tcW w:w="1985" w:type="dxa"/>
            <w:tcBorders>
              <w:top w:val="nil"/>
              <w:left w:val="nil"/>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33,352,806.39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center"/>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w:t>
            </w:r>
          </w:p>
        </w:tc>
        <w:tc>
          <w:tcPr>
            <w:tcW w:w="1985" w:type="dxa"/>
            <w:tcBorders>
              <w:top w:val="nil"/>
              <w:left w:val="nil"/>
              <w:bottom w:val="nil"/>
              <w:right w:val="single" w:sz="8" w:space="0" w:color="auto"/>
            </w:tcBorders>
            <w:shd w:val="clear" w:color="auto" w:fill="auto"/>
            <w:noWrap/>
            <w:vAlign w:val="center"/>
            <w:hideMark/>
          </w:tcPr>
          <w:p w:rsidR="00133803" w:rsidRPr="00133803" w:rsidRDefault="00133803" w:rsidP="00133803">
            <w:pPr>
              <w:spacing w:after="0" w:line="240" w:lineRule="auto"/>
              <w:jc w:val="right"/>
              <w:rPr>
                <w:rFonts w:ascii="Arial" w:eastAsia="Times New Roman" w:hAnsi="Arial" w:cs="Arial"/>
                <w:b/>
                <w:bCs/>
                <w:color w:val="000000"/>
                <w:sz w:val="16"/>
                <w:szCs w:val="16"/>
                <w:lang w:eastAsia="es-MX"/>
              </w:rPr>
            </w:pPr>
            <w:r w:rsidRPr="00133803">
              <w:rPr>
                <w:rFonts w:ascii="Arial" w:eastAsia="Times New Roman" w:hAnsi="Arial" w:cs="Arial"/>
                <w:b/>
                <w:bCs/>
                <w:color w:val="000000"/>
                <w:sz w:val="16"/>
                <w:szCs w:val="16"/>
                <w:lang w:eastAsia="es-MX"/>
              </w:rPr>
              <w:t>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center"/>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APLICACIÓN</w:t>
            </w:r>
          </w:p>
        </w:tc>
        <w:tc>
          <w:tcPr>
            <w:tcW w:w="1985" w:type="dxa"/>
            <w:tcBorders>
              <w:top w:val="nil"/>
              <w:left w:val="nil"/>
              <w:bottom w:val="nil"/>
              <w:right w:val="single" w:sz="8" w:space="0" w:color="auto"/>
            </w:tcBorders>
            <w:shd w:val="clear" w:color="auto" w:fill="auto"/>
            <w:noWrap/>
            <w:vAlign w:val="center"/>
            <w:hideMark/>
          </w:tcPr>
          <w:p w:rsidR="00133803" w:rsidRPr="00133803" w:rsidRDefault="00133803" w:rsidP="00133803">
            <w:pPr>
              <w:spacing w:after="0" w:line="240" w:lineRule="auto"/>
              <w:jc w:val="right"/>
              <w:rPr>
                <w:rFonts w:ascii="Arial" w:eastAsia="Times New Roman" w:hAnsi="Arial" w:cs="Arial"/>
                <w:b/>
                <w:bCs/>
                <w:color w:val="000000"/>
                <w:sz w:val="16"/>
                <w:szCs w:val="16"/>
                <w:lang w:eastAsia="es-MX"/>
              </w:rPr>
            </w:pPr>
            <w:r w:rsidRPr="00133803">
              <w:rPr>
                <w:rFonts w:ascii="Arial" w:eastAsia="Times New Roman" w:hAnsi="Arial" w:cs="Arial"/>
                <w:b/>
                <w:bCs/>
                <w:color w:val="000000"/>
                <w:sz w:val="16"/>
                <w:szCs w:val="16"/>
                <w:lang w:eastAsia="es-MX"/>
              </w:rPr>
              <w:t>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Egr sueldos</w:t>
            </w:r>
          </w:p>
        </w:tc>
        <w:tc>
          <w:tcPr>
            <w:tcW w:w="1985" w:type="dxa"/>
            <w:tcBorders>
              <w:top w:val="nil"/>
              <w:left w:val="nil"/>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4,380,830.28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Egr impuestos</w:t>
            </w:r>
          </w:p>
        </w:tc>
        <w:tc>
          <w:tcPr>
            <w:tcW w:w="1985" w:type="dxa"/>
            <w:tcBorders>
              <w:top w:val="nil"/>
              <w:left w:val="nil"/>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1,817,438.94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Egr proveedores</w:t>
            </w:r>
          </w:p>
        </w:tc>
        <w:tc>
          <w:tcPr>
            <w:tcW w:w="1985" w:type="dxa"/>
            <w:tcBorders>
              <w:top w:val="nil"/>
              <w:left w:val="nil"/>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6,327,022.74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Egr traspasos</w:t>
            </w:r>
          </w:p>
        </w:tc>
        <w:tc>
          <w:tcPr>
            <w:tcW w:w="1985" w:type="dxa"/>
            <w:tcBorders>
              <w:top w:val="nil"/>
              <w:left w:val="nil"/>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1,624,648.00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Egr diversos</w:t>
            </w:r>
          </w:p>
        </w:tc>
        <w:tc>
          <w:tcPr>
            <w:tcW w:w="1985" w:type="dxa"/>
            <w:tcBorders>
              <w:top w:val="nil"/>
              <w:left w:val="nil"/>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17,888,472.45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center"/>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w:t>
            </w:r>
          </w:p>
        </w:tc>
        <w:tc>
          <w:tcPr>
            <w:tcW w:w="1985" w:type="dxa"/>
            <w:tcBorders>
              <w:top w:val="nil"/>
              <w:left w:val="nil"/>
              <w:bottom w:val="nil"/>
              <w:right w:val="single" w:sz="8" w:space="0" w:color="auto"/>
            </w:tcBorders>
            <w:shd w:val="clear" w:color="auto" w:fill="auto"/>
            <w:noWrap/>
            <w:vAlign w:val="center"/>
            <w:hideMark/>
          </w:tcPr>
          <w:p w:rsidR="00133803" w:rsidRPr="00133803" w:rsidRDefault="00133803" w:rsidP="00133803">
            <w:pPr>
              <w:spacing w:after="0" w:line="240" w:lineRule="auto"/>
              <w:jc w:val="right"/>
              <w:rPr>
                <w:rFonts w:ascii="Arial" w:eastAsia="Times New Roman" w:hAnsi="Arial" w:cs="Arial"/>
                <w:b/>
                <w:bCs/>
                <w:color w:val="000000"/>
                <w:sz w:val="16"/>
                <w:szCs w:val="16"/>
                <w:lang w:eastAsia="es-MX"/>
              </w:rPr>
            </w:pPr>
            <w:r w:rsidRPr="00133803">
              <w:rPr>
                <w:rFonts w:ascii="Arial" w:eastAsia="Times New Roman" w:hAnsi="Arial" w:cs="Arial"/>
                <w:b/>
                <w:bCs/>
                <w:color w:val="000000"/>
                <w:sz w:val="16"/>
                <w:szCs w:val="16"/>
                <w:lang w:eastAsia="es-MX"/>
              </w:rPr>
              <w:t>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Total Egresos</w:t>
            </w:r>
          </w:p>
        </w:tc>
        <w:tc>
          <w:tcPr>
            <w:tcW w:w="1985" w:type="dxa"/>
            <w:tcBorders>
              <w:top w:val="nil"/>
              <w:left w:val="nil"/>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32,063,061.89 </w:t>
            </w:r>
          </w:p>
        </w:tc>
      </w:tr>
      <w:tr w:rsidR="00133803" w:rsidRPr="00133803" w:rsidTr="00C57B02">
        <w:trPr>
          <w:trHeight w:val="295"/>
        </w:trPr>
        <w:tc>
          <w:tcPr>
            <w:tcW w:w="5812" w:type="dxa"/>
            <w:tcBorders>
              <w:top w:val="nil"/>
              <w:left w:val="single" w:sz="8" w:space="0" w:color="auto"/>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w:t>
            </w:r>
          </w:p>
        </w:tc>
        <w:tc>
          <w:tcPr>
            <w:tcW w:w="1985" w:type="dxa"/>
            <w:tcBorders>
              <w:top w:val="nil"/>
              <w:left w:val="nil"/>
              <w:bottom w:val="nil"/>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w:t>
            </w:r>
          </w:p>
        </w:tc>
      </w:tr>
      <w:tr w:rsidR="00133803" w:rsidRPr="00133803" w:rsidTr="00C57B02">
        <w:trPr>
          <w:trHeight w:val="310"/>
        </w:trPr>
        <w:tc>
          <w:tcPr>
            <w:tcW w:w="5812" w:type="dxa"/>
            <w:tcBorders>
              <w:top w:val="nil"/>
              <w:left w:val="single" w:sz="8" w:space="0" w:color="auto"/>
              <w:bottom w:val="single" w:sz="8" w:space="0" w:color="auto"/>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S a l d o    f i n a l</w:t>
            </w:r>
          </w:p>
        </w:tc>
        <w:tc>
          <w:tcPr>
            <w:tcW w:w="1985" w:type="dxa"/>
            <w:tcBorders>
              <w:top w:val="nil"/>
              <w:left w:val="nil"/>
              <w:bottom w:val="single" w:sz="8" w:space="0" w:color="auto"/>
              <w:right w:val="single" w:sz="8" w:space="0" w:color="auto"/>
            </w:tcBorders>
            <w:shd w:val="clear" w:color="auto" w:fill="auto"/>
            <w:noWrap/>
            <w:vAlign w:val="bottom"/>
            <w:hideMark/>
          </w:tcPr>
          <w:p w:rsidR="00133803" w:rsidRPr="00133803" w:rsidRDefault="00133803" w:rsidP="00133803">
            <w:pPr>
              <w:spacing w:after="0" w:line="240" w:lineRule="auto"/>
              <w:rPr>
                <w:rFonts w:ascii="Calibri" w:eastAsia="Times New Roman" w:hAnsi="Calibri" w:cs="Times New Roman"/>
                <w:color w:val="000000"/>
                <w:lang w:eastAsia="es-MX"/>
              </w:rPr>
            </w:pPr>
            <w:r w:rsidRPr="00133803">
              <w:rPr>
                <w:rFonts w:ascii="Calibri" w:eastAsia="Times New Roman" w:hAnsi="Calibri" w:cs="Times New Roman"/>
                <w:color w:val="000000"/>
                <w:lang w:eastAsia="es-MX"/>
              </w:rPr>
              <w:t xml:space="preserve">     1,289,744.50 </w:t>
            </w:r>
          </w:p>
        </w:tc>
      </w:tr>
    </w:tbl>
    <w:p w:rsidR="0063584D" w:rsidRDefault="0063584D" w:rsidP="009E19C7">
      <w:pPr>
        <w:jc w:val="both"/>
        <w:rPr>
          <w:b/>
        </w:rPr>
      </w:pPr>
    </w:p>
    <w:p w:rsidR="00983D65" w:rsidRDefault="009E19C7" w:rsidP="009E19C7">
      <w:pPr>
        <w:jc w:val="both"/>
        <w:rPr>
          <w:b/>
        </w:rPr>
      </w:pPr>
      <w:r w:rsidRPr="00616510">
        <w:rPr>
          <w:b/>
        </w:rPr>
        <w:lastRenderedPageBreak/>
        <w:t>I.2  INFORMACION PRESUPUESTAL</w:t>
      </w:r>
    </w:p>
    <w:p w:rsidR="009E19C7" w:rsidRDefault="009E19C7" w:rsidP="00983D65">
      <w:pPr>
        <w:spacing w:line="240" w:lineRule="auto"/>
        <w:jc w:val="both"/>
      </w:pPr>
      <w:r>
        <w:t>NOTA 15.  CUENTAS PRESUPUESTARIAS</w:t>
      </w:r>
    </w:p>
    <w:p w:rsidR="00275252" w:rsidRDefault="009E19C7" w:rsidP="00983D65">
      <w:pPr>
        <w:pStyle w:val="Prrafodelista"/>
        <w:numPr>
          <w:ilvl w:val="0"/>
          <w:numId w:val="8"/>
        </w:numPr>
        <w:spacing w:line="240" w:lineRule="auto"/>
        <w:jc w:val="both"/>
      </w:pPr>
      <w:r>
        <w:t xml:space="preserve">Información presupuestaria de ingresos del periodo </w:t>
      </w:r>
      <w:r w:rsidR="009D206B">
        <w:t xml:space="preserve">de Enero a </w:t>
      </w:r>
      <w:r w:rsidR="00010FC7">
        <w:t>Marzo 2017</w:t>
      </w:r>
      <w:r>
        <w:t xml:space="preserve">, se integra </w:t>
      </w:r>
      <w:r w:rsidR="00275252">
        <w:t>como sigue</w:t>
      </w:r>
    </w:p>
    <w:p w:rsidR="00275252" w:rsidRDefault="00275252" w:rsidP="00275252">
      <w:pPr>
        <w:pStyle w:val="Prrafodelista"/>
        <w:spacing w:line="240" w:lineRule="auto"/>
        <w:jc w:val="both"/>
      </w:pPr>
    </w:p>
    <w:tbl>
      <w:tblPr>
        <w:tblW w:w="10617" w:type="dxa"/>
        <w:tblInd w:w="-861" w:type="dxa"/>
        <w:tblCellMar>
          <w:left w:w="70" w:type="dxa"/>
          <w:right w:w="70" w:type="dxa"/>
        </w:tblCellMar>
        <w:tblLook w:val="04A0" w:firstRow="1" w:lastRow="0" w:firstColumn="1" w:lastColumn="0" w:noHBand="0" w:noVBand="1"/>
      </w:tblPr>
      <w:tblGrid>
        <w:gridCol w:w="3454"/>
        <w:gridCol w:w="2005"/>
        <w:gridCol w:w="772"/>
        <w:gridCol w:w="1381"/>
        <w:gridCol w:w="772"/>
        <w:gridCol w:w="1461"/>
        <w:gridCol w:w="772"/>
      </w:tblGrid>
      <w:tr w:rsidR="007F48B5" w:rsidRPr="007F48B5" w:rsidTr="00E4107D">
        <w:trPr>
          <w:trHeight w:val="290"/>
        </w:trPr>
        <w:tc>
          <w:tcPr>
            <w:tcW w:w="3454" w:type="dxa"/>
            <w:vMerge w:val="restart"/>
            <w:tcBorders>
              <w:top w:val="single" w:sz="8" w:space="0" w:color="auto"/>
              <w:left w:val="single" w:sz="8" w:space="0" w:color="auto"/>
              <w:bottom w:val="single" w:sz="8" w:space="0" w:color="000000"/>
              <w:right w:val="single" w:sz="8" w:space="0" w:color="auto"/>
            </w:tcBorders>
            <w:shd w:val="clear" w:color="000000" w:fill="C0C0C0"/>
            <w:noWrap/>
            <w:vAlign w:val="center"/>
            <w:hideMark/>
          </w:tcPr>
          <w:p w:rsidR="007F48B5" w:rsidRPr="007F48B5" w:rsidRDefault="007F48B5" w:rsidP="00E4107D">
            <w:pPr>
              <w:spacing w:after="0" w:line="240" w:lineRule="auto"/>
              <w:ind w:left="-637"/>
              <w:jc w:val="center"/>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CONCEPTO</w:t>
            </w:r>
          </w:p>
        </w:tc>
        <w:tc>
          <w:tcPr>
            <w:tcW w:w="2777" w:type="dxa"/>
            <w:gridSpan w:val="2"/>
            <w:tcBorders>
              <w:top w:val="single" w:sz="8" w:space="0" w:color="auto"/>
              <w:left w:val="nil"/>
              <w:bottom w:val="single" w:sz="8" w:space="0" w:color="auto"/>
              <w:right w:val="single" w:sz="8" w:space="0" w:color="000000"/>
            </w:tcBorders>
            <w:shd w:val="clear" w:color="000000" w:fill="C0C0C0"/>
            <w:noWrap/>
            <w:vAlign w:val="center"/>
            <w:hideMark/>
          </w:tcPr>
          <w:p w:rsidR="007F48B5" w:rsidRPr="007F48B5" w:rsidRDefault="007F48B5" w:rsidP="007F48B5">
            <w:pPr>
              <w:spacing w:after="0" w:line="240" w:lineRule="auto"/>
              <w:jc w:val="center"/>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 xml:space="preserve">PRESUPUESTO </w:t>
            </w:r>
          </w:p>
        </w:tc>
        <w:tc>
          <w:tcPr>
            <w:tcW w:w="2153" w:type="dxa"/>
            <w:gridSpan w:val="2"/>
            <w:tcBorders>
              <w:top w:val="single" w:sz="8" w:space="0" w:color="auto"/>
              <w:left w:val="nil"/>
              <w:bottom w:val="single" w:sz="8" w:space="0" w:color="auto"/>
              <w:right w:val="single" w:sz="8" w:space="0" w:color="000000"/>
            </w:tcBorders>
            <w:shd w:val="clear" w:color="000000" w:fill="C0C0C0"/>
            <w:noWrap/>
            <w:vAlign w:val="center"/>
            <w:hideMark/>
          </w:tcPr>
          <w:p w:rsidR="007F48B5" w:rsidRPr="007F48B5" w:rsidRDefault="007F48B5" w:rsidP="007F48B5">
            <w:pPr>
              <w:spacing w:after="0" w:line="240" w:lineRule="auto"/>
              <w:jc w:val="center"/>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RECAUDADO</w:t>
            </w:r>
          </w:p>
        </w:tc>
        <w:tc>
          <w:tcPr>
            <w:tcW w:w="2233" w:type="dxa"/>
            <w:gridSpan w:val="2"/>
            <w:tcBorders>
              <w:top w:val="single" w:sz="8" w:space="0" w:color="auto"/>
              <w:left w:val="nil"/>
              <w:bottom w:val="single" w:sz="8" w:space="0" w:color="auto"/>
              <w:right w:val="single" w:sz="8" w:space="0" w:color="000000"/>
            </w:tcBorders>
            <w:shd w:val="clear" w:color="000000" w:fill="BFBFBF"/>
            <w:noWrap/>
            <w:vAlign w:val="center"/>
            <w:hideMark/>
          </w:tcPr>
          <w:p w:rsidR="007F48B5" w:rsidRPr="007F48B5" w:rsidRDefault="007F48B5" w:rsidP="007F48B5">
            <w:pPr>
              <w:spacing w:after="0" w:line="240" w:lineRule="auto"/>
              <w:jc w:val="center"/>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VARIACION</w:t>
            </w:r>
          </w:p>
        </w:tc>
      </w:tr>
      <w:tr w:rsidR="007F48B5" w:rsidRPr="007F48B5" w:rsidTr="00E4107D">
        <w:trPr>
          <w:trHeight w:val="290"/>
        </w:trPr>
        <w:tc>
          <w:tcPr>
            <w:tcW w:w="3454" w:type="dxa"/>
            <w:vMerge/>
            <w:tcBorders>
              <w:top w:val="single" w:sz="8" w:space="0" w:color="auto"/>
              <w:left w:val="single" w:sz="8" w:space="0" w:color="auto"/>
              <w:bottom w:val="single" w:sz="8" w:space="0" w:color="000000"/>
              <w:right w:val="single" w:sz="8" w:space="0" w:color="auto"/>
            </w:tcBorders>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p>
        </w:tc>
        <w:tc>
          <w:tcPr>
            <w:tcW w:w="2005" w:type="dxa"/>
            <w:tcBorders>
              <w:top w:val="nil"/>
              <w:left w:val="nil"/>
              <w:bottom w:val="nil"/>
              <w:right w:val="single" w:sz="8" w:space="0" w:color="auto"/>
            </w:tcBorders>
            <w:shd w:val="clear" w:color="000000" w:fill="C0C0C0"/>
            <w:noWrap/>
            <w:vAlign w:val="center"/>
            <w:hideMark/>
          </w:tcPr>
          <w:p w:rsidR="007F48B5" w:rsidRPr="007F48B5" w:rsidRDefault="007F48B5" w:rsidP="007F48B5">
            <w:pPr>
              <w:spacing w:after="0" w:line="240" w:lineRule="auto"/>
              <w:jc w:val="center"/>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IMPORTE</w:t>
            </w:r>
          </w:p>
        </w:tc>
        <w:tc>
          <w:tcPr>
            <w:tcW w:w="772" w:type="dxa"/>
            <w:tcBorders>
              <w:top w:val="nil"/>
              <w:left w:val="nil"/>
              <w:bottom w:val="single" w:sz="8" w:space="0" w:color="auto"/>
              <w:right w:val="single" w:sz="8" w:space="0" w:color="auto"/>
            </w:tcBorders>
            <w:shd w:val="clear" w:color="000000" w:fill="C0C0C0"/>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w:t>
            </w:r>
          </w:p>
        </w:tc>
        <w:tc>
          <w:tcPr>
            <w:tcW w:w="1381" w:type="dxa"/>
            <w:tcBorders>
              <w:top w:val="nil"/>
              <w:left w:val="nil"/>
              <w:bottom w:val="nil"/>
              <w:right w:val="single" w:sz="8" w:space="0" w:color="auto"/>
            </w:tcBorders>
            <w:shd w:val="clear" w:color="000000" w:fill="C0C0C0"/>
            <w:noWrap/>
            <w:vAlign w:val="center"/>
            <w:hideMark/>
          </w:tcPr>
          <w:p w:rsidR="007F48B5" w:rsidRPr="007F48B5" w:rsidRDefault="007F48B5" w:rsidP="007F48B5">
            <w:pPr>
              <w:spacing w:after="0" w:line="240" w:lineRule="auto"/>
              <w:jc w:val="center"/>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 xml:space="preserve"> IMPORTE </w:t>
            </w:r>
          </w:p>
        </w:tc>
        <w:tc>
          <w:tcPr>
            <w:tcW w:w="772" w:type="dxa"/>
            <w:tcBorders>
              <w:top w:val="nil"/>
              <w:left w:val="nil"/>
              <w:bottom w:val="single" w:sz="8" w:space="0" w:color="auto"/>
              <w:right w:val="nil"/>
            </w:tcBorders>
            <w:shd w:val="clear" w:color="000000" w:fill="BFBFBF"/>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w:t>
            </w:r>
          </w:p>
        </w:tc>
        <w:tc>
          <w:tcPr>
            <w:tcW w:w="1461" w:type="dxa"/>
            <w:tcBorders>
              <w:top w:val="nil"/>
              <w:left w:val="single" w:sz="8" w:space="0" w:color="auto"/>
              <w:bottom w:val="nil"/>
              <w:right w:val="single" w:sz="8" w:space="0" w:color="auto"/>
            </w:tcBorders>
            <w:shd w:val="clear" w:color="000000" w:fill="BFBFBF"/>
            <w:noWrap/>
            <w:vAlign w:val="center"/>
            <w:hideMark/>
          </w:tcPr>
          <w:p w:rsidR="007F48B5" w:rsidRPr="007F48B5" w:rsidRDefault="007F48B5" w:rsidP="007F48B5">
            <w:pPr>
              <w:spacing w:after="0" w:line="240" w:lineRule="auto"/>
              <w:jc w:val="center"/>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IMPORTE</w:t>
            </w:r>
          </w:p>
        </w:tc>
        <w:tc>
          <w:tcPr>
            <w:tcW w:w="772" w:type="dxa"/>
            <w:tcBorders>
              <w:top w:val="nil"/>
              <w:left w:val="nil"/>
              <w:bottom w:val="nil"/>
              <w:right w:val="single" w:sz="8" w:space="0" w:color="auto"/>
            </w:tcBorders>
            <w:shd w:val="clear" w:color="000000" w:fill="BFBFBF"/>
            <w:noWrap/>
            <w:vAlign w:val="center"/>
            <w:hideMark/>
          </w:tcPr>
          <w:p w:rsidR="007F48B5" w:rsidRPr="007F48B5" w:rsidRDefault="007F48B5" w:rsidP="007F48B5">
            <w:pPr>
              <w:spacing w:after="0" w:line="240" w:lineRule="auto"/>
              <w:jc w:val="center"/>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w:t>
            </w:r>
          </w:p>
        </w:tc>
      </w:tr>
      <w:tr w:rsidR="007F48B5" w:rsidRPr="007F48B5" w:rsidTr="00E4107D">
        <w:trPr>
          <w:trHeight w:val="290"/>
        </w:trPr>
        <w:tc>
          <w:tcPr>
            <w:tcW w:w="3454" w:type="dxa"/>
            <w:tcBorders>
              <w:top w:val="nil"/>
              <w:left w:val="single" w:sz="8" w:space="0" w:color="auto"/>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Derechos por el uso, goce, aprovechamiento o explo</w:t>
            </w:r>
          </w:p>
        </w:tc>
        <w:tc>
          <w:tcPr>
            <w:tcW w:w="2005" w:type="dxa"/>
            <w:tcBorders>
              <w:top w:val="single" w:sz="8" w:space="0" w:color="auto"/>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24,507,308.00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90.77%</w:t>
            </w:r>
          </w:p>
        </w:tc>
        <w:tc>
          <w:tcPr>
            <w:tcW w:w="1381" w:type="dxa"/>
            <w:tcBorders>
              <w:top w:val="single" w:sz="8" w:space="0" w:color="auto"/>
              <w:left w:val="nil"/>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25,154,831.00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87.33%</w:t>
            </w:r>
          </w:p>
        </w:tc>
        <w:tc>
          <w:tcPr>
            <w:tcW w:w="1461" w:type="dxa"/>
            <w:tcBorders>
              <w:top w:val="single" w:sz="8" w:space="0" w:color="auto"/>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647,523.00</w:t>
            </w:r>
          </w:p>
        </w:tc>
        <w:tc>
          <w:tcPr>
            <w:tcW w:w="772" w:type="dxa"/>
            <w:tcBorders>
              <w:top w:val="single" w:sz="8" w:space="0" w:color="auto"/>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2.64%</w:t>
            </w:r>
          </w:p>
        </w:tc>
      </w:tr>
      <w:tr w:rsidR="007F48B5" w:rsidRPr="007F48B5" w:rsidTr="00E4107D">
        <w:trPr>
          <w:trHeight w:val="290"/>
        </w:trPr>
        <w:tc>
          <w:tcPr>
            <w:tcW w:w="3454" w:type="dxa"/>
            <w:tcBorders>
              <w:top w:val="nil"/>
              <w:left w:val="single" w:sz="8" w:space="0" w:color="auto"/>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Otros Derechos</w:t>
            </w:r>
          </w:p>
        </w:tc>
        <w:tc>
          <w:tcPr>
            <w:tcW w:w="2005"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125,901.00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0.47%</w:t>
            </w:r>
          </w:p>
        </w:tc>
        <w:tc>
          <w:tcPr>
            <w:tcW w:w="1381" w:type="dxa"/>
            <w:tcBorders>
              <w:top w:val="nil"/>
              <w:left w:val="nil"/>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143,985.00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0.50%</w:t>
            </w:r>
          </w:p>
        </w:tc>
        <w:tc>
          <w:tcPr>
            <w:tcW w:w="1461"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18,084.00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14.36%</w:t>
            </w:r>
          </w:p>
        </w:tc>
      </w:tr>
      <w:tr w:rsidR="007F48B5" w:rsidRPr="007F48B5" w:rsidTr="00E4107D">
        <w:trPr>
          <w:trHeight w:val="290"/>
        </w:trPr>
        <w:tc>
          <w:tcPr>
            <w:tcW w:w="3454" w:type="dxa"/>
            <w:tcBorders>
              <w:top w:val="nil"/>
              <w:left w:val="single" w:sz="8" w:space="0" w:color="auto"/>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Otros productos que generan ingresos corrientes</w:t>
            </w:r>
          </w:p>
        </w:tc>
        <w:tc>
          <w:tcPr>
            <w:tcW w:w="2005"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219,042.00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0.81%</w:t>
            </w:r>
          </w:p>
        </w:tc>
        <w:tc>
          <w:tcPr>
            <w:tcW w:w="1381" w:type="dxa"/>
            <w:tcBorders>
              <w:top w:val="nil"/>
              <w:left w:val="nil"/>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334,273.00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1.16%</w:t>
            </w:r>
          </w:p>
        </w:tc>
        <w:tc>
          <w:tcPr>
            <w:tcW w:w="1461"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115,231.00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52.61%</w:t>
            </w:r>
          </w:p>
        </w:tc>
      </w:tr>
      <w:tr w:rsidR="007F48B5" w:rsidRPr="007F48B5" w:rsidTr="00E4107D">
        <w:trPr>
          <w:trHeight w:val="290"/>
        </w:trPr>
        <w:tc>
          <w:tcPr>
            <w:tcW w:w="3454" w:type="dxa"/>
            <w:tcBorders>
              <w:top w:val="nil"/>
              <w:left w:val="single" w:sz="8" w:space="0" w:color="auto"/>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Aprovechamientos de tipo corriente</w:t>
            </w:r>
          </w:p>
        </w:tc>
        <w:tc>
          <w:tcPr>
            <w:tcW w:w="2005"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 </w:t>
            </w:r>
          </w:p>
        </w:tc>
        <w:tc>
          <w:tcPr>
            <w:tcW w:w="1381" w:type="dxa"/>
            <w:tcBorders>
              <w:top w:val="nil"/>
              <w:left w:val="nil"/>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jc w:val="right"/>
              <w:rPr>
                <w:rFonts w:ascii="Arial" w:eastAsia="Times New Roman" w:hAnsi="Arial" w:cs="Arial"/>
                <w:color w:val="000000"/>
                <w:sz w:val="16"/>
                <w:szCs w:val="16"/>
                <w:lang w:eastAsia="es-MX"/>
              </w:rPr>
            </w:pPr>
            <w:r w:rsidRPr="007F48B5">
              <w:rPr>
                <w:rFonts w:ascii="Arial" w:eastAsia="Times New Roman" w:hAnsi="Arial" w:cs="Arial"/>
                <w:color w:val="000000"/>
                <w:sz w:val="16"/>
                <w:szCs w:val="16"/>
                <w:lang w:eastAsia="es-MX"/>
              </w:rPr>
              <w:t>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 </w:t>
            </w:r>
          </w:p>
        </w:tc>
        <w:tc>
          <w:tcPr>
            <w:tcW w:w="1461"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0.00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0.00%</w:t>
            </w:r>
          </w:p>
        </w:tc>
      </w:tr>
      <w:tr w:rsidR="007F48B5" w:rsidRPr="007F48B5" w:rsidTr="00E4107D">
        <w:trPr>
          <w:trHeight w:val="290"/>
        </w:trPr>
        <w:tc>
          <w:tcPr>
            <w:tcW w:w="3454" w:type="dxa"/>
            <w:tcBorders>
              <w:top w:val="nil"/>
              <w:left w:val="single" w:sz="8" w:space="0" w:color="auto"/>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Multas</w:t>
            </w:r>
          </w:p>
        </w:tc>
        <w:tc>
          <w:tcPr>
            <w:tcW w:w="2005"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1,649,785.00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6.11%</w:t>
            </w:r>
          </w:p>
        </w:tc>
        <w:tc>
          <w:tcPr>
            <w:tcW w:w="1381" w:type="dxa"/>
            <w:tcBorders>
              <w:top w:val="nil"/>
              <w:left w:val="nil"/>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1,726,779.00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5.99%</w:t>
            </w:r>
          </w:p>
        </w:tc>
        <w:tc>
          <w:tcPr>
            <w:tcW w:w="1461"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76,994.00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4.67%</w:t>
            </w:r>
          </w:p>
        </w:tc>
      </w:tr>
      <w:tr w:rsidR="007F48B5" w:rsidRPr="007F48B5" w:rsidTr="00E4107D">
        <w:trPr>
          <w:trHeight w:val="290"/>
        </w:trPr>
        <w:tc>
          <w:tcPr>
            <w:tcW w:w="3454" w:type="dxa"/>
            <w:tcBorders>
              <w:top w:val="nil"/>
              <w:left w:val="single" w:sz="8" w:space="0" w:color="auto"/>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Indemnizaciones</w:t>
            </w:r>
          </w:p>
        </w:tc>
        <w:tc>
          <w:tcPr>
            <w:tcW w:w="2005"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27,905.00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0.10%</w:t>
            </w:r>
          </w:p>
        </w:tc>
        <w:tc>
          <w:tcPr>
            <w:tcW w:w="1381" w:type="dxa"/>
            <w:tcBorders>
              <w:top w:val="nil"/>
              <w:left w:val="nil"/>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35,891.00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0.12%</w:t>
            </w:r>
          </w:p>
        </w:tc>
        <w:tc>
          <w:tcPr>
            <w:tcW w:w="1461"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7,986.00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28.62%</w:t>
            </w:r>
          </w:p>
        </w:tc>
      </w:tr>
      <w:tr w:rsidR="007F48B5" w:rsidRPr="007F48B5" w:rsidTr="00E4107D">
        <w:trPr>
          <w:trHeight w:val="290"/>
        </w:trPr>
        <w:tc>
          <w:tcPr>
            <w:tcW w:w="3454" w:type="dxa"/>
            <w:tcBorders>
              <w:top w:val="nil"/>
              <w:left w:val="single" w:sz="8" w:space="0" w:color="auto"/>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Aprovechamientos provenientes de obras publicas</w:t>
            </w:r>
          </w:p>
        </w:tc>
        <w:tc>
          <w:tcPr>
            <w:tcW w:w="2005"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433,097.00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1.60%</w:t>
            </w:r>
          </w:p>
        </w:tc>
        <w:tc>
          <w:tcPr>
            <w:tcW w:w="1381" w:type="dxa"/>
            <w:tcBorders>
              <w:top w:val="nil"/>
              <w:left w:val="nil"/>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321,099.00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1.11%</w:t>
            </w:r>
          </w:p>
        </w:tc>
        <w:tc>
          <w:tcPr>
            <w:tcW w:w="1461"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-111,998.00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-25.86%</w:t>
            </w:r>
          </w:p>
        </w:tc>
      </w:tr>
      <w:tr w:rsidR="007F48B5" w:rsidRPr="007F48B5" w:rsidTr="00E4107D">
        <w:trPr>
          <w:trHeight w:val="290"/>
        </w:trPr>
        <w:tc>
          <w:tcPr>
            <w:tcW w:w="3454" w:type="dxa"/>
            <w:tcBorders>
              <w:top w:val="nil"/>
              <w:left w:val="single" w:sz="8" w:space="0" w:color="auto"/>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Otros Aprovechamientos</w:t>
            </w:r>
          </w:p>
        </w:tc>
        <w:tc>
          <w:tcPr>
            <w:tcW w:w="2005"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36,876.00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0.14%</w:t>
            </w:r>
          </w:p>
        </w:tc>
        <w:tc>
          <w:tcPr>
            <w:tcW w:w="1381" w:type="dxa"/>
            <w:tcBorders>
              <w:top w:val="nil"/>
              <w:left w:val="nil"/>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36,365.00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0.13%</w:t>
            </w:r>
          </w:p>
        </w:tc>
        <w:tc>
          <w:tcPr>
            <w:tcW w:w="1461"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-511.00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-1.39%</w:t>
            </w:r>
          </w:p>
        </w:tc>
      </w:tr>
      <w:tr w:rsidR="007F48B5" w:rsidRPr="007F48B5" w:rsidTr="00E4107D">
        <w:trPr>
          <w:trHeight w:val="290"/>
        </w:trPr>
        <w:tc>
          <w:tcPr>
            <w:tcW w:w="3454" w:type="dxa"/>
            <w:tcBorders>
              <w:top w:val="nil"/>
              <w:left w:val="single" w:sz="8" w:space="0" w:color="auto"/>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Aportaciones</w:t>
            </w:r>
          </w:p>
        </w:tc>
        <w:tc>
          <w:tcPr>
            <w:tcW w:w="2005"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 </w:t>
            </w:r>
          </w:p>
        </w:tc>
        <w:tc>
          <w:tcPr>
            <w:tcW w:w="1381" w:type="dxa"/>
            <w:tcBorders>
              <w:top w:val="nil"/>
              <w:left w:val="nil"/>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1,051,008.00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3.65%</w:t>
            </w:r>
          </w:p>
        </w:tc>
        <w:tc>
          <w:tcPr>
            <w:tcW w:w="1461"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1,051,008.00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100.00%</w:t>
            </w:r>
          </w:p>
        </w:tc>
      </w:tr>
      <w:tr w:rsidR="007F48B5" w:rsidRPr="007F48B5" w:rsidTr="00E4107D">
        <w:trPr>
          <w:trHeight w:val="290"/>
        </w:trPr>
        <w:tc>
          <w:tcPr>
            <w:tcW w:w="3454" w:type="dxa"/>
            <w:tcBorders>
              <w:top w:val="nil"/>
              <w:left w:val="single" w:sz="8" w:space="0" w:color="auto"/>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 </w:t>
            </w:r>
          </w:p>
        </w:tc>
        <w:tc>
          <w:tcPr>
            <w:tcW w:w="2005" w:type="dxa"/>
            <w:tcBorders>
              <w:top w:val="nil"/>
              <w:left w:val="nil"/>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26,999,914.00</w:t>
            </w:r>
          </w:p>
        </w:tc>
        <w:tc>
          <w:tcPr>
            <w:tcW w:w="772" w:type="dxa"/>
            <w:tcBorders>
              <w:top w:val="nil"/>
              <w:left w:val="nil"/>
              <w:bottom w:val="single" w:sz="8" w:space="0" w:color="auto"/>
              <w:right w:val="single" w:sz="8" w:space="0" w:color="auto"/>
            </w:tcBorders>
            <w:shd w:val="clear" w:color="000000" w:fill="FFFFFF"/>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100.00%</w:t>
            </w:r>
          </w:p>
        </w:tc>
        <w:tc>
          <w:tcPr>
            <w:tcW w:w="1381"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center"/>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28,804,231.00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100.00%</w:t>
            </w:r>
          </w:p>
        </w:tc>
        <w:tc>
          <w:tcPr>
            <w:tcW w:w="1461"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jc w:val="right"/>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1,804,317.00</w:t>
            </w:r>
          </w:p>
        </w:tc>
        <w:tc>
          <w:tcPr>
            <w:tcW w:w="772" w:type="dxa"/>
            <w:tcBorders>
              <w:top w:val="nil"/>
              <w:left w:val="nil"/>
              <w:bottom w:val="single" w:sz="8" w:space="0" w:color="auto"/>
              <w:right w:val="single" w:sz="8" w:space="0" w:color="auto"/>
            </w:tcBorders>
            <w:shd w:val="clear" w:color="auto" w:fill="auto"/>
            <w:noWrap/>
            <w:vAlign w:val="center"/>
            <w:hideMark/>
          </w:tcPr>
          <w:p w:rsidR="007F48B5" w:rsidRPr="007F48B5" w:rsidRDefault="007F48B5" w:rsidP="007F48B5">
            <w:pPr>
              <w:spacing w:after="0" w:line="240" w:lineRule="auto"/>
              <w:rPr>
                <w:rFonts w:ascii="Arial" w:eastAsia="Times New Roman" w:hAnsi="Arial" w:cs="Arial"/>
                <w:b/>
                <w:bCs/>
                <w:color w:val="000000"/>
                <w:sz w:val="16"/>
                <w:szCs w:val="16"/>
                <w:lang w:eastAsia="es-MX"/>
              </w:rPr>
            </w:pPr>
            <w:r w:rsidRPr="007F48B5">
              <w:rPr>
                <w:rFonts w:ascii="Arial" w:eastAsia="Times New Roman" w:hAnsi="Arial" w:cs="Arial"/>
                <w:b/>
                <w:bCs/>
                <w:color w:val="000000"/>
                <w:sz w:val="16"/>
                <w:szCs w:val="16"/>
                <w:lang w:eastAsia="es-MX"/>
              </w:rPr>
              <w:t> </w:t>
            </w:r>
          </w:p>
        </w:tc>
      </w:tr>
    </w:tbl>
    <w:p w:rsidR="00275252" w:rsidRDefault="00275252" w:rsidP="009E19C7">
      <w:pPr>
        <w:jc w:val="both"/>
      </w:pPr>
    </w:p>
    <w:p w:rsidR="009E19C7" w:rsidRPr="00261D0E" w:rsidRDefault="00275252" w:rsidP="009E19C7">
      <w:pPr>
        <w:jc w:val="both"/>
      </w:pPr>
      <w:r>
        <w:t>E</w:t>
      </w:r>
      <w:r w:rsidR="00BC378D">
        <w:t xml:space="preserve">n general derivado de la gestión de recaudación arrojo una diferencia de </w:t>
      </w:r>
      <w:r w:rsidR="00E4107D" w:rsidRPr="007F48B5">
        <w:rPr>
          <w:rFonts w:ascii="Arial" w:eastAsia="Times New Roman" w:hAnsi="Arial" w:cs="Arial"/>
          <w:b/>
          <w:bCs/>
          <w:color w:val="000000"/>
          <w:sz w:val="16"/>
          <w:szCs w:val="16"/>
          <w:lang w:eastAsia="es-MX"/>
        </w:rPr>
        <w:t>1,804,317.00</w:t>
      </w:r>
      <w:r w:rsidR="00BC378D">
        <w:t xml:space="preserve">  equivalente al</w:t>
      </w:r>
      <w:r w:rsidR="0063584D">
        <w:t xml:space="preserve"> </w:t>
      </w:r>
      <w:r w:rsidR="00E4107D">
        <w:t>6.68</w:t>
      </w:r>
      <w:r w:rsidR="0063584D">
        <w:t>%</w:t>
      </w:r>
      <w:r w:rsidR="00BC378D">
        <w:t xml:space="preserve"> destacando el renglón de </w:t>
      </w:r>
      <w:r w:rsidR="00600DEC">
        <w:t xml:space="preserve">Derechos por el uso, goce, </w:t>
      </w:r>
      <w:r w:rsidR="00BC378D">
        <w:t>Aprovechamiento</w:t>
      </w:r>
      <w:r w:rsidR="00600DEC">
        <w:t xml:space="preserve"> o explo </w:t>
      </w:r>
      <w:r w:rsidR="00815B18">
        <w:t>una diferencia de $</w:t>
      </w:r>
      <w:r w:rsidR="00E4107D">
        <w:t>647,523.00</w:t>
      </w:r>
      <w:r w:rsidR="00BC378D">
        <w:t>. Existe un ingreso de Recursos Federales no presupuestado por $</w:t>
      </w:r>
      <w:r w:rsidR="00B01A99">
        <w:t>1´051,008</w:t>
      </w:r>
    </w:p>
    <w:p w:rsidR="009E19C7" w:rsidRPr="00261D0E" w:rsidRDefault="009E19C7" w:rsidP="009E19C7">
      <w:pPr>
        <w:jc w:val="both"/>
        <w:rPr>
          <w:b/>
        </w:rPr>
      </w:pPr>
      <w:r w:rsidRPr="00261D0E">
        <w:rPr>
          <w:b/>
        </w:rPr>
        <w:t>CONTINUACION NOTA 15</w:t>
      </w:r>
    </w:p>
    <w:p w:rsidR="00911BC7" w:rsidRDefault="009E19C7" w:rsidP="009E19C7">
      <w:pPr>
        <w:pStyle w:val="Prrafodelista"/>
        <w:numPr>
          <w:ilvl w:val="0"/>
          <w:numId w:val="8"/>
        </w:numPr>
        <w:jc w:val="both"/>
      </w:pPr>
      <w:r>
        <w:t xml:space="preserve">Información presupuestaria de egresos del periodo de </w:t>
      </w:r>
      <w:r w:rsidR="00815B18">
        <w:t xml:space="preserve">Enero a </w:t>
      </w:r>
      <w:r w:rsidR="00C974B6">
        <w:t>Junio 2016</w:t>
      </w:r>
      <w:r>
        <w:t xml:space="preserve">, se integra </w:t>
      </w:r>
      <w:r w:rsidR="00911BC7">
        <w:t>como sigue</w:t>
      </w:r>
    </w:p>
    <w:tbl>
      <w:tblPr>
        <w:tblW w:w="11189" w:type="dxa"/>
        <w:tblInd w:w="-1286" w:type="dxa"/>
        <w:tblCellMar>
          <w:left w:w="70" w:type="dxa"/>
          <w:right w:w="70" w:type="dxa"/>
        </w:tblCellMar>
        <w:tblLook w:val="04A0" w:firstRow="1" w:lastRow="0" w:firstColumn="1" w:lastColumn="0" w:noHBand="0" w:noVBand="1"/>
      </w:tblPr>
      <w:tblGrid>
        <w:gridCol w:w="992"/>
        <w:gridCol w:w="2373"/>
        <w:gridCol w:w="1763"/>
        <w:gridCol w:w="781"/>
        <w:gridCol w:w="1763"/>
        <w:gridCol w:w="781"/>
        <w:gridCol w:w="1557"/>
        <w:gridCol w:w="1179"/>
      </w:tblGrid>
      <w:tr w:rsidR="00B21A59" w:rsidRPr="00B21A59" w:rsidTr="00B21A59">
        <w:trPr>
          <w:trHeight w:val="148"/>
        </w:trPr>
        <w:tc>
          <w:tcPr>
            <w:tcW w:w="992" w:type="dxa"/>
            <w:tcBorders>
              <w:top w:val="single" w:sz="8" w:space="0" w:color="auto"/>
              <w:left w:val="single" w:sz="8" w:space="0" w:color="auto"/>
              <w:bottom w:val="single" w:sz="8" w:space="0" w:color="auto"/>
              <w:right w:val="single" w:sz="8" w:space="0" w:color="auto"/>
            </w:tcBorders>
            <w:shd w:val="clear" w:color="000000" w:fill="C0C0C0"/>
            <w:noWrap/>
            <w:vAlign w:val="center"/>
            <w:hideMark/>
          </w:tcPr>
          <w:p w:rsidR="00B21A59" w:rsidRPr="00B21A59" w:rsidRDefault="00B21A59" w:rsidP="00B21A59">
            <w:pPr>
              <w:spacing w:after="0" w:line="240" w:lineRule="auto"/>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w:t>
            </w:r>
          </w:p>
        </w:tc>
        <w:tc>
          <w:tcPr>
            <w:tcW w:w="2373" w:type="dxa"/>
            <w:tcBorders>
              <w:top w:val="single" w:sz="8" w:space="0" w:color="auto"/>
              <w:left w:val="nil"/>
              <w:bottom w:val="single" w:sz="8" w:space="0" w:color="auto"/>
              <w:right w:val="single" w:sz="8" w:space="0" w:color="auto"/>
            </w:tcBorders>
            <w:shd w:val="clear" w:color="000000" w:fill="C0C0C0"/>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w:t>
            </w:r>
          </w:p>
        </w:tc>
        <w:tc>
          <w:tcPr>
            <w:tcW w:w="2544" w:type="dxa"/>
            <w:gridSpan w:val="2"/>
            <w:tcBorders>
              <w:top w:val="single" w:sz="8" w:space="0" w:color="auto"/>
              <w:left w:val="nil"/>
              <w:bottom w:val="single" w:sz="8" w:space="0" w:color="auto"/>
              <w:right w:val="single" w:sz="8" w:space="0" w:color="000000"/>
            </w:tcBorders>
            <w:shd w:val="clear" w:color="000000" w:fill="C0C0C0"/>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xml:space="preserve"> PRESUPUESTO </w:t>
            </w:r>
          </w:p>
        </w:tc>
        <w:tc>
          <w:tcPr>
            <w:tcW w:w="2544" w:type="dxa"/>
            <w:gridSpan w:val="2"/>
            <w:tcBorders>
              <w:top w:val="single" w:sz="8" w:space="0" w:color="auto"/>
              <w:left w:val="nil"/>
              <w:bottom w:val="single" w:sz="8" w:space="0" w:color="auto"/>
              <w:right w:val="single" w:sz="8" w:space="0" w:color="000000"/>
            </w:tcBorders>
            <w:shd w:val="clear" w:color="000000" w:fill="C0C0C0"/>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w:t>
            </w:r>
          </w:p>
        </w:tc>
        <w:tc>
          <w:tcPr>
            <w:tcW w:w="2736" w:type="dxa"/>
            <w:gridSpan w:val="2"/>
            <w:tcBorders>
              <w:top w:val="single" w:sz="8" w:space="0" w:color="auto"/>
              <w:left w:val="nil"/>
              <w:bottom w:val="single" w:sz="8" w:space="0" w:color="auto"/>
              <w:right w:val="single" w:sz="8" w:space="0" w:color="000000"/>
            </w:tcBorders>
            <w:shd w:val="clear" w:color="000000" w:fill="C0C0C0"/>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w:t>
            </w:r>
          </w:p>
        </w:tc>
      </w:tr>
      <w:tr w:rsidR="00B21A59" w:rsidRPr="00B21A59" w:rsidTr="00B21A59">
        <w:trPr>
          <w:trHeight w:val="148"/>
        </w:trPr>
        <w:tc>
          <w:tcPr>
            <w:tcW w:w="992" w:type="dxa"/>
            <w:tcBorders>
              <w:top w:val="nil"/>
              <w:left w:val="single" w:sz="8" w:space="0" w:color="auto"/>
              <w:bottom w:val="single" w:sz="8" w:space="0" w:color="auto"/>
              <w:right w:val="single" w:sz="8" w:space="0" w:color="auto"/>
            </w:tcBorders>
            <w:shd w:val="clear" w:color="000000" w:fill="C0C0C0"/>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CLAVE</w:t>
            </w:r>
          </w:p>
        </w:tc>
        <w:tc>
          <w:tcPr>
            <w:tcW w:w="2373" w:type="dxa"/>
            <w:tcBorders>
              <w:top w:val="nil"/>
              <w:left w:val="nil"/>
              <w:bottom w:val="single" w:sz="8" w:space="0" w:color="auto"/>
              <w:right w:val="single" w:sz="8" w:space="0" w:color="auto"/>
            </w:tcBorders>
            <w:shd w:val="clear" w:color="000000" w:fill="C0C0C0"/>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DESCRIPCION</w:t>
            </w:r>
          </w:p>
        </w:tc>
        <w:tc>
          <w:tcPr>
            <w:tcW w:w="1763" w:type="dxa"/>
            <w:tcBorders>
              <w:top w:val="nil"/>
              <w:left w:val="nil"/>
              <w:bottom w:val="single" w:sz="8" w:space="0" w:color="auto"/>
              <w:right w:val="single" w:sz="8" w:space="0" w:color="auto"/>
            </w:tcBorders>
            <w:shd w:val="clear" w:color="000000" w:fill="C0C0C0"/>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xml:space="preserve"> IMPORTE </w:t>
            </w:r>
          </w:p>
        </w:tc>
        <w:tc>
          <w:tcPr>
            <w:tcW w:w="781" w:type="dxa"/>
            <w:tcBorders>
              <w:top w:val="nil"/>
              <w:left w:val="nil"/>
              <w:bottom w:val="single" w:sz="8" w:space="0" w:color="auto"/>
              <w:right w:val="single" w:sz="8" w:space="0" w:color="auto"/>
            </w:tcBorders>
            <w:shd w:val="clear" w:color="000000" w:fill="C0C0C0"/>
            <w:noWrap/>
            <w:vAlign w:val="center"/>
            <w:hideMark/>
          </w:tcPr>
          <w:p w:rsidR="00B21A59" w:rsidRPr="00B21A59" w:rsidRDefault="00B21A59" w:rsidP="00B21A59">
            <w:pPr>
              <w:spacing w:after="0" w:line="240" w:lineRule="auto"/>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w:t>
            </w:r>
          </w:p>
        </w:tc>
        <w:tc>
          <w:tcPr>
            <w:tcW w:w="1763" w:type="dxa"/>
            <w:tcBorders>
              <w:top w:val="nil"/>
              <w:left w:val="nil"/>
              <w:bottom w:val="single" w:sz="8" w:space="0" w:color="auto"/>
              <w:right w:val="single" w:sz="8" w:space="0" w:color="auto"/>
            </w:tcBorders>
            <w:shd w:val="clear" w:color="000000" w:fill="C0C0C0"/>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xml:space="preserve"> EJERCIDO </w:t>
            </w:r>
          </w:p>
        </w:tc>
        <w:tc>
          <w:tcPr>
            <w:tcW w:w="781" w:type="dxa"/>
            <w:tcBorders>
              <w:top w:val="nil"/>
              <w:left w:val="nil"/>
              <w:bottom w:val="single" w:sz="8" w:space="0" w:color="auto"/>
              <w:right w:val="single" w:sz="8" w:space="0" w:color="auto"/>
            </w:tcBorders>
            <w:shd w:val="clear" w:color="000000" w:fill="C0C0C0"/>
            <w:noWrap/>
            <w:vAlign w:val="center"/>
            <w:hideMark/>
          </w:tcPr>
          <w:p w:rsidR="00B21A59" w:rsidRPr="00B21A59" w:rsidRDefault="00B21A59" w:rsidP="00B21A59">
            <w:pPr>
              <w:spacing w:after="0" w:line="240" w:lineRule="auto"/>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xml:space="preserve"> % </w:t>
            </w:r>
          </w:p>
        </w:tc>
        <w:tc>
          <w:tcPr>
            <w:tcW w:w="1557" w:type="dxa"/>
            <w:tcBorders>
              <w:top w:val="nil"/>
              <w:left w:val="nil"/>
              <w:bottom w:val="single" w:sz="8" w:space="0" w:color="auto"/>
              <w:right w:val="single" w:sz="8" w:space="0" w:color="auto"/>
            </w:tcBorders>
            <w:shd w:val="clear" w:color="000000" w:fill="C0C0C0"/>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xml:space="preserve"> IMPORTE </w:t>
            </w:r>
          </w:p>
        </w:tc>
        <w:tc>
          <w:tcPr>
            <w:tcW w:w="1179" w:type="dxa"/>
            <w:tcBorders>
              <w:top w:val="nil"/>
              <w:left w:val="nil"/>
              <w:bottom w:val="single" w:sz="8" w:space="0" w:color="auto"/>
              <w:right w:val="single" w:sz="8" w:space="0" w:color="auto"/>
            </w:tcBorders>
            <w:shd w:val="clear" w:color="000000" w:fill="C0C0C0"/>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xml:space="preserve"> % </w:t>
            </w:r>
          </w:p>
        </w:tc>
      </w:tr>
      <w:tr w:rsidR="00B21A59" w:rsidRPr="00B21A59" w:rsidTr="00B21A59">
        <w:trPr>
          <w:trHeight w:val="148"/>
        </w:trPr>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1000</w:t>
            </w:r>
          </w:p>
        </w:tc>
        <w:tc>
          <w:tcPr>
            <w:tcW w:w="237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rPr>
                <w:rFonts w:ascii="Calibri" w:eastAsia="Times New Roman" w:hAnsi="Calibri" w:cs="Times New Roman"/>
                <w:color w:val="000000"/>
                <w:sz w:val="18"/>
                <w:szCs w:val="18"/>
                <w:lang w:eastAsia="es-MX"/>
              </w:rPr>
            </w:pPr>
            <w:r w:rsidRPr="00B21A59">
              <w:rPr>
                <w:rFonts w:ascii="Calibri" w:eastAsia="Times New Roman" w:hAnsi="Calibri" w:cs="Times New Roman"/>
                <w:color w:val="000000"/>
                <w:sz w:val="18"/>
                <w:szCs w:val="18"/>
                <w:lang w:eastAsia="es-MX"/>
              </w:rPr>
              <w:t>SERVICIOS PERSONALES</w:t>
            </w:r>
          </w:p>
        </w:tc>
        <w:tc>
          <w:tcPr>
            <w:tcW w:w="176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$15,083,622.69</w:t>
            </w:r>
          </w:p>
        </w:tc>
        <w:tc>
          <w:tcPr>
            <w:tcW w:w="781"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55.87%</w:t>
            </w:r>
          </w:p>
        </w:tc>
        <w:tc>
          <w:tcPr>
            <w:tcW w:w="1763" w:type="dxa"/>
            <w:tcBorders>
              <w:top w:val="nil"/>
              <w:left w:val="nil"/>
              <w:bottom w:val="single" w:sz="8" w:space="0" w:color="auto"/>
              <w:right w:val="single" w:sz="8" w:space="0" w:color="auto"/>
            </w:tcBorders>
            <w:shd w:val="clear" w:color="000000" w:fill="FFFFFF"/>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14,478,316.12</w:t>
            </w:r>
          </w:p>
        </w:tc>
        <w:tc>
          <w:tcPr>
            <w:tcW w:w="781" w:type="dxa"/>
            <w:tcBorders>
              <w:top w:val="nil"/>
              <w:left w:val="nil"/>
              <w:bottom w:val="single" w:sz="8" w:space="0" w:color="auto"/>
              <w:right w:val="single" w:sz="8" w:space="0" w:color="auto"/>
            </w:tcBorders>
            <w:shd w:val="clear" w:color="000000" w:fill="FFFFFF"/>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50.32%</w:t>
            </w:r>
          </w:p>
        </w:tc>
        <w:tc>
          <w:tcPr>
            <w:tcW w:w="1557"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605,306.57</w:t>
            </w:r>
          </w:p>
        </w:tc>
        <w:tc>
          <w:tcPr>
            <w:tcW w:w="1179"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4%</w:t>
            </w:r>
          </w:p>
        </w:tc>
      </w:tr>
      <w:tr w:rsidR="00B21A59" w:rsidRPr="00B21A59" w:rsidTr="00B21A59">
        <w:trPr>
          <w:trHeight w:val="148"/>
        </w:trPr>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2000</w:t>
            </w:r>
          </w:p>
        </w:tc>
        <w:tc>
          <w:tcPr>
            <w:tcW w:w="237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rPr>
                <w:rFonts w:ascii="Calibri" w:eastAsia="Times New Roman" w:hAnsi="Calibri" w:cs="Times New Roman"/>
                <w:color w:val="000000"/>
                <w:sz w:val="18"/>
                <w:szCs w:val="18"/>
                <w:lang w:eastAsia="es-MX"/>
              </w:rPr>
            </w:pPr>
            <w:r w:rsidRPr="00B21A59">
              <w:rPr>
                <w:rFonts w:ascii="Calibri" w:eastAsia="Times New Roman" w:hAnsi="Calibri" w:cs="Times New Roman"/>
                <w:color w:val="000000"/>
                <w:sz w:val="18"/>
                <w:szCs w:val="18"/>
                <w:lang w:eastAsia="es-MX"/>
              </w:rPr>
              <w:t>MATERIALES Y SUMINISTROS</w:t>
            </w:r>
          </w:p>
        </w:tc>
        <w:tc>
          <w:tcPr>
            <w:tcW w:w="176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$1,280,856.91</w:t>
            </w:r>
          </w:p>
        </w:tc>
        <w:tc>
          <w:tcPr>
            <w:tcW w:w="781"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4.74%</w:t>
            </w:r>
          </w:p>
        </w:tc>
        <w:tc>
          <w:tcPr>
            <w:tcW w:w="1763" w:type="dxa"/>
            <w:tcBorders>
              <w:top w:val="nil"/>
              <w:left w:val="nil"/>
              <w:bottom w:val="single" w:sz="8" w:space="0" w:color="auto"/>
              <w:right w:val="single" w:sz="8" w:space="0" w:color="auto"/>
            </w:tcBorders>
            <w:shd w:val="clear" w:color="000000" w:fill="FFFFFF"/>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1,605,575.62</w:t>
            </w:r>
          </w:p>
        </w:tc>
        <w:tc>
          <w:tcPr>
            <w:tcW w:w="781" w:type="dxa"/>
            <w:tcBorders>
              <w:top w:val="nil"/>
              <w:left w:val="nil"/>
              <w:bottom w:val="single" w:sz="8" w:space="0" w:color="auto"/>
              <w:right w:val="single" w:sz="8" w:space="0" w:color="auto"/>
            </w:tcBorders>
            <w:shd w:val="clear" w:color="000000" w:fill="FFFFFF"/>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5.58%</w:t>
            </w:r>
          </w:p>
        </w:tc>
        <w:tc>
          <w:tcPr>
            <w:tcW w:w="1557"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-324,718.71</w:t>
            </w:r>
          </w:p>
        </w:tc>
        <w:tc>
          <w:tcPr>
            <w:tcW w:w="1179"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-25%</w:t>
            </w:r>
          </w:p>
        </w:tc>
      </w:tr>
      <w:tr w:rsidR="00B21A59" w:rsidRPr="00B21A59" w:rsidTr="00B21A59">
        <w:trPr>
          <w:trHeight w:val="148"/>
        </w:trPr>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3000</w:t>
            </w:r>
          </w:p>
        </w:tc>
        <w:tc>
          <w:tcPr>
            <w:tcW w:w="237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rPr>
                <w:rFonts w:ascii="Calibri" w:eastAsia="Times New Roman" w:hAnsi="Calibri" w:cs="Times New Roman"/>
                <w:color w:val="000000"/>
                <w:sz w:val="18"/>
                <w:szCs w:val="18"/>
                <w:lang w:eastAsia="es-MX"/>
              </w:rPr>
            </w:pPr>
            <w:r w:rsidRPr="00B21A59">
              <w:rPr>
                <w:rFonts w:ascii="Calibri" w:eastAsia="Times New Roman" w:hAnsi="Calibri" w:cs="Times New Roman"/>
                <w:color w:val="000000"/>
                <w:sz w:val="18"/>
                <w:szCs w:val="18"/>
                <w:lang w:eastAsia="es-MX"/>
              </w:rPr>
              <w:t>SERVICIOS GENERALES</w:t>
            </w:r>
          </w:p>
        </w:tc>
        <w:tc>
          <w:tcPr>
            <w:tcW w:w="176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$8,936,602.63</w:t>
            </w:r>
          </w:p>
        </w:tc>
        <w:tc>
          <w:tcPr>
            <w:tcW w:w="781"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33.10%</w:t>
            </w:r>
          </w:p>
        </w:tc>
        <w:tc>
          <w:tcPr>
            <w:tcW w:w="1763" w:type="dxa"/>
            <w:tcBorders>
              <w:top w:val="nil"/>
              <w:left w:val="nil"/>
              <w:bottom w:val="single" w:sz="8" w:space="0" w:color="auto"/>
              <w:right w:val="single" w:sz="8" w:space="0" w:color="auto"/>
            </w:tcBorders>
            <w:shd w:val="clear" w:color="000000" w:fill="FFFFFF"/>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10,208,271.82</w:t>
            </w:r>
          </w:p>
        </w:tc>
        <w:tc>
          <w:tcPr>
            <w:tcW w:w="781" w:type="dxa"/>
            <w:tcBorders>
              <w:top w:val="nil"/>
              <w:left w:val="nil"/>
              <w:bottom w:val="single" w:sz="8" w:space="0" w:color="auto"/>
              <w:right w:val="single" w:sz="8" w:space="0" w:color="auto"/>
            </w:tcBorders>
            <w:shd w:val="clear" w:color="000000" w:fill="FFFFFF"/>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35.48%</w:t>
            </w:r>
          </w:p>
        </w:tc>
        <w:tc>
          <w:tcPr>
            <w:tcW w:w="1557"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-1,271,669.19</w:t>
            </w:r>
          </w:p>
        </w:tc>
        <w:tc>
          <w:tcPr>
            <w:tcW w:w="1179"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-14%</w:t>
            </w:r>
          </w:p>
        </w:tc>
      </w:tr>
      <w:tr w:rsidR="00B21A59" w:rsidRPr="00B21A59" w:rsidTr="00B21A59">
        <w:trPr>
          <w:trHeight w:val="148"/>
        </w:trPr>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4000</w:t>
            </w:r>
          </w:p>
        </w:tc>
        <w:tc>
          <w:tcPr>
            <w:tcW w:w="237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rPr>
                <w:rFonts w:ascii="Calibri" w:eastAsia="Times New Roman" w:hAnsi="Calibri" w:cs="Times New Roman"/>
                <w:color w:val="000000"/>
                <w:sz w:val="18"/>
                <w:szCs w:val="18"/>
                <w:lang w:eastAsia="es-MX"/>
              </w:rPr>
            </w:pPr>
            <w:r w:rsidRPr="00B21A59">
              <w:rPr>
                <w:rFonts w:ascii="Calibri" w:eastAsia="Times New Roman" w:hAnsi="Calibri" w:cs="Times New Roman"/>
                <w:color w:val="000000"/>
                <w:sz w:val="18"/>
                <w:szCs w:val="18"/>
                <w:lang w:eastAsia="es-MX"/>
              </w:rPr>
              <w:t>TRANSFERENCIAS, ASIGNACIONES, SUBSIDIOS Y OTRAS AYUDAS</w:t>
            </w:r>
          </w:p>
        </w:tc>
        <w:tc>
          <w:tcPr>
            <w:tcW w:w="176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$3,456.00</w:t>
            </w:r>
          </w:p>
        </w:tc>
        <w:tc>
          <w:tcPr>
            <w:tcW w:w="781"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0.01%</w:t>
            </w:r>
          </w:p>
        </w:tc>
        <w:tc>
          <w:tcPr>
            <w:tcW w:w="1763" w:type="dxa"/>
            <w:tcBorders>
              <w:top w:val="nil"/>
              <w:left w:val="nil"/>
              <w:bottom w:val="single" w:sz="8" w:space="0" w:color="auto"/>
              <w:right w:val="single" w:sz="8" w:space="0" w:color="auto"/>
            </w:tcBorders>
            <w:shd w:val="clear" w:color="000000" w:fill="FFFFFF"/>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1,200.00</w:t>
            </w:r>
          </w:p>
        </w:tc>
        <w:tc>
          <w:tcPr>
            <w:tcW w:w="781" w:type="dxa"/>
            <w:tcBorders>
              <w:top w:val="nil"/>
              <w:left w:val="nil"/>
              <w:bottom w:val="single" w:sz="8" w:space="0" w:color="auto"/>
              <w:right w:val="single" w:sz="8" w:space="0" w:color="auto"/>
            </w:tcBorders>
            <w:shd w:val="clear" w:color="000000" w:fill="FFFFFF"/>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0.00%</w:t>
            </w:r>
          </w:p>
        </w:tc>
        <w:tc>
          <w:tcPr>
            <w:tcW w:w="1557"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2,256.00</w:t>
            </w:r>
          </w:p>
        </w:tc>
        <w:tc>
          <w:tcPr>
            <w:tcW w:w="1179"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65%</w:t>
            </w:r>
          </w:p>
        </w:tc>
      </w:tr>
      <w:tr w:rsidR="00B21A59" w:rsidRPr="00B21A59" w:rsidTr="00B21A59">
        <w:trPr>
          <w:trHeight w:val="148"/>
        </w:trPr>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5000</w:t>
            </w:r>
          </w:p>
        </w:tc>
        <w:tc>
          <w:tcPr>
            <w:tcW w:w="237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rPr>
                <w:rFonts w:ascii="Calibri" w:eastAsia="Times New Roman" w:hAnsi="Calibri" w:cs="Times New Roman"/>
                <w:color w:val="000000"/>
                <w:sz w:val="18"/>
                <w:szCs w:val="18"/>
                <w:lang w:eastAsia="es-MX"/>
              </w:rPr>
            </w:pPr>
            <w:r w:rsidRPr="00B21A59">
              <w:rPr>
                <w:rFonts w:ascii="Calibri" w:eastAsia="Times New Roman" w:hAnsi="Calibri" w:cs="Times New Roman"/>
                <w:color w:val="000000"/>
                <w:sz w:val="18"/>
                <w:szCs w:val="18"/>
                <w:lang w:eastAsia="es-MX"/>
              </w:rPr>
              <w:t>BIENES MUEBLES, INMUEBLES E INTANGIBLES</w:t>
            </w:r>
          </w:p>
        </w:tc>
        <w:tc>
          <w:tcPr>
            <w:tcW w:w="176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$663,371.39</w:t>
            </w:r>
          </w:p>
        </w:tc>
        <w:tc>
          <w:tcPr>
            <w:tcW w:w="781"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2.46%</w:t>
            </w:r>
          </w:p>
        </w:tc>
        <w:tc>
          <w:tcPr>
            <w:tcW w:w="1763" w:type="dxa"/>
            <w:tcBorders>
              <w:top w:val="nil"/>
              <w:left w:val="nil"/>
              <w:bottom w:val="single" w:sz="8" w:space="0" w:color="auto"/>
              <w:right w:val="single" w:sz="8" w:space="0" w:color="auto"/>
            </w:tcBorders>
            <w:shd w:val="clear" w:color="000000" w:fill="FFFFFF"/>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775,509.80</w:t>
            </w:r>
          </w:p>
        </w:tc>
        <w:tc>
          <w:tcPr>
            <w:tcW w:w="781" w:type="dxa"/>
            <w:tcBorders>
              <w:top w:val="nil"/>
              <w:left w:val="nil"/>
              <w:bottom w:val="single" w:sz="8" w:space="0" w:color="auto"/>
              <w:right w:val="single" w:sz="8" w:space="0" w:color="auto"/>
            </w:tcBorders>
            <w:shd w:val="clear" w:color="000000" w:fill="FFFFFF"/>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2.70%</w:t>
            </w:r>
          </w:p>
        </w:tc>
        <w:tc>
          <w:tcPr>
            <w:tcW w:w="1557"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-112,138.41</w:t>
            </w:r>
          </w:p>
        </w:tc>
        <w:tc>
          <w:tcPr>
            <w:tcW w:w="1179"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-17%</w:t>
            </w:r>
          </w:p>
        </w:tc>
      </w:tr>
      <w:tr w:rsidR="00B21A59" w:rsidRPr="00B21A59" w:rsidTr="00B21A59">
        <w:trPr>
          <w:trHeight w:val="148"/>
        </w:trPr>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6000</w:t>
            </w:r>
          </w:p>
        </w:tc>
        <w:tc>
          <w:tcPr>
            <w:tcW w:w="237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rPr>
                <w:rFonts w:ascii="Calibri" w:eastAsia="Times New Roman" w:hAnsi="Calibri" w:cs="Times New Roman"/>
                <w:color w:val="000000"/>
                <w:sz w:val="18"/>
                <w:szCs w:val="18"/>
                <w:lang w:eastAsia="es-MX"/>
              </w:rPr>
            </w:pPr>
            <w:r w:rsidRPr="00B21A59">
              <w:rPr>
                <w:rFonts w:ascii="Calibri" w:eastAsia="Times New Roman" w:hAnsi="Calibri" w:cs="Times New Roman"/>
                <w:color w:val="000000"/>
                <w:sz w:val="18"/>
                <w:szCs w:val="18"/>
                <w:lang w:eastAsia="es-MX"/>
              </w:rPr>
              <w:t>INVERSION PUBLICA</w:t>
            </w:r>
          </w:p>
        </w:tc>
        <w:tc>
          <w:tcPr>
            <w:tcW w:w="176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$1,032,000.00</w:t>
            </w:r>
          </w:p>
        </w:tc>
        <w:tc>
          <w:tcPr>
            <w:tcW w:w="781"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3.82%</w:t>
            </w:r>
          </w:p>
        </w:tc>
        <w:tc>
          <w:tcPr>
            <w:tcW w:w="1763" w:type="dxa"/>
            <w:tcBorders>
              <w:top w:val="nil"/>
              <w:left w:val="nil"/>
              <w:bottom w:val="single" w:sz="8" w:space="0" w:color="auto"/>
              <w:right w:val="single" w:sz="8" w:space="0" w:color="auto"/>
            </w:tcBorders>
            <w:shd w:val="clear" w:color="000000" w:fill="FFFFFF"/>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1,705,883.30</w:t>
            </w:r>
          </w:p>
        </w:tc>
        <w:tc>
          <w:tcPr>
            <w:tcW w:w="781" w:type="dxa"/>
            <w:tcBorders>
              <w:top w:val="nil"/>
              <w:left w:val="nil"/>
              <w:bottom w:val="single" w:sz="8" w:space="0" w:color="auto"/>
              <w:right w:val="single" w:sz="8" w:space="0" w:color="auto"/>
            </w:tcBorders>
            <w:shd w:val="clear" w:color="000000" w:fill="FFFFFF"/>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5.93%</w:t>
            </w:r>
          </w:p>
        </w:tc>
        <w:tc>
          <w:tcPr>
            <w:tcW w:w="1557"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-673,883.30</w:t>
            </w:r>
          </w:p>
        </w:tc>
        <w:tc>
          <w:tcPr>
            <w:tcW w:w="1179"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-65%</w:t>
            </w:r>
          </w:p>
        </w:tc>
      </w:tr>
      <w:tr w:rsidR="00B21A59" w:rsidRPr="00B21A59" w:rsidTr="00B21A59">
        <w:trPr>
          <w:trHeight w:val="148"/>
        </w:trPr>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center"/>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9000</w:t>
            </w:r>
          </w:p>
        </w:tc>
        <w:tc>
          <w:tcPr>
            <w:tcW w:w="237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rPr>
                <w:rFonts w:ascii="Calibri" w:eastAsia="Times New Roman" w:hAnsi="Calibri" w:cs="Times New Roman"/>
                <w:color w:val="000000"/>
                <w:sz w:val="18"/>
                <w:szCs w:val="18"/>
                <w:lang w:eastAsia="es-MX"/>
              </w:rPr>
            </w:pPr>
            <w:r w:rsidRPr="00B21A59">
              <w:rPr>
                <w:rFonts w:ascii="Calibri" w:eastAsia="Times New Roman" w:hAnsi="Calibri" w:cs="Times New Roman"/>
                <w:color w:val="000000"/>
                <w:sz w:val="18"/>
                <w:szCs w:val="18"/>
                <w:lang w:eastAsia="es-MX"/>
              </w:rPr>
              <w:t>DEUDA PUBLICA</w:t>
            </w:r>
          </w:p>
        </w:tc>
        <w:tc>
          <w:tcPr>
            <w:tcW w:w="176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$0.00</w:t>
            </w:r>
          </w:p>
        </w:tc>
        <w:tc>
          <w:tcPr>
            <w:tcW w:w="781"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0.00%</w:t>
            </w:r>
          </w:p>
        </w:tc>
        <w:tc>
          <w:tcPr>
            <w:tcW w:w="176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w:t>
            </w:r>
          </w:p>
        </w:tc>
        <w:tc>
          <w:tcPr>
            <w:tcW w:w="781"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w:t>
            </w:r>
          </w:p>
        </w:tc>
        <w:tc>
          <w:tcPr>
            <w:tcW w:w="1557"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0.00</w:t>
            </w:r>
          </w:p>
        </w:tc>
        <w:tc>
          <w:tcPr>
            <w:tcW w:w="1179"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0%</w:t>
            </w:r>
          </w:p>
        </w:tc>
      </w:tr>
      <w:tr w:rsidR="00B21A59" w:rsidRPr="00B21A59" w:rsidTr="00B21A59">
        <w:trPr>
          <w:trHeight w:val="148"/>
        </w:trPr>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w:t>
            </w:r>
          </w:p>
        </w:tc>
        <w:tc>
          <w:tcPr>
            <w:tcW w:w="237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TOTAL</w:t>
            </w:r>
          </w:p>
        </w:tc>
        <w:tc>
          <w:tcPr>
            <w:tcW w:w="176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26,999,909.62</w:t>
            </w:r>
          </w:p>
        </w:tc>
        <w:tc>
          <w:tcPr>
            <w:tcW w:w="781"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color w:val="000000"/>
                <w:sz w:val="16"/>
                <w:szCs w:val="16"/>
                <w:lang w:eastAsia="es-MX"/>
              </w:rPr>
            </w:pPr>
            <w:r w:rsidRPr="00B21A59">
              <w:rPr>
                <w:rFonts w:ascii="Arial" w:eastAsia="Times New Roman" w:hAnsi="Arial" w:cs="Arial"/>
                <w:color w:val="000000"/>
                <w:sz w:val="16"/>
                <w:szCs w:val="16"/>
                <w:lang w:eastAsia="es-MX"/>
              </w:rPr>
              <w:t>100.00%</w:t>
            </w:r>
          </w:p>
        </w:tc>
        <w:tc>
          <w:tcPr>
            <w:tcW w:w="1763"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28,774,756.66</w:t>
            </w:r>
          </w:p>
        </w:tc>
        <w:tc>
          <w:tcPr>
            <w:tcW w:w="781"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100.00%</w:t>
            </w:r>
          </w:p>
        </w:tc>
        <w:tc>
          <w:tcPr>
            <w:tcW w:w="1557"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-1,774,847.04</w:t>
            </w:r>
          </w:p>
        </w:tc>
        <w:tc>
          <w:tcPr>
            <w:tcW w:w="1179" w:type="dxa"/>
            <w:tcBorders>
              <w:top w:val="nil"/>
              <w:left w:val="nil"/>
              <w:bottom w:val="single" w:sz="8" w:space="0" w:color="auto"/>
              <w:right w:val="single" w:sz="8" w:space="0" w:color="auto"/>
            </w:tcBorders>
            <w:shd w:val="clear" w:color="auto" w:fill="auto"/>
            <w:noWrap/>
            <w:vAlign w:val="center"/>
            <w:hideMark/>
          </w:tcPr>
          <w:p w:rsidR="00B21A59" w:rsidRPr="00B21A59" w:rsidRDefault="00B21A59" w:rsidP="00B21A59">
            <w:pPr>
              <w:spacing w:after="0" w:line="240" w:lineRule="auto"/>
              <w:jc w:val="right"/>
              <w:rPr>
                <w:rFonts w:ascii="Arial" w:eastAsia="Times New Roman" w:hAnsi="Arial" w:cs="Arial"/>
                <w:b/>
                <w:bCs/>
                <w:color w:val="000000"/>
                <w:sz w:val="16"/>
                <w:szCs w:val="16"/>
                <w:lang w:eastAsia="es-MX"/>
              </w:rPr>
            </w:pPr>
            <w:r w:rsidRPr="00B21A59">
              <w:rPr>
                <w:rFonts w:ascii="Arial" w:eastAsia="Times New Roman" w:hAnsi="Arial" w:cs="Arial"/>
                <w:b/>
                <w:bCs/>
                <w:color w:val="000000"/>
                <w:sz w:val="16"/>
                <w:szCs w:val="16"/>
                <w:lang w:eastAsia="es-MX"/>
              </w:rPr>
              <w:t> </w:t>
            </w:r>
          </w:p>
        </w:tc>
      </w:tr>
    </w:tbl>
    <w:p w:rsidR="009E19C7" w:rsidRDefault="009E19C7" w:rsidP="00911BC7">
      <w:pPr>
        <w:pStyle w:val="Prrafodelista"/>
        <w:jc w:val="both"/>
      </w:pPr>
    </w:p>
    <w:p w:rsidR="002D320A" w:rsidRDefault="002D320A" w:rsidP="002D320A">
      <w:pPr>
        <w:ind w:left="360"/>
        <w:jc w:val="both"/>
      </w:pPr>
    </w:p>
    <w:p w:rsidR="00F7056D" w:rsidRDefault="00F7056D" w:rsidP="00F7056D">
      <w:pPr>
        <w:jc w:val="both"/>
      </w:pPr>
    </w:p>
    <w:p w:rsidR="004B0077" w:rsidRDefault="00550AB8" w:rsidP="009E19C7">
      <w:pPr>
        <w:jc w:val="both"/>
        <w:rPr>
          <w:b/>
        </w:rPr>
      </w:pPr>
      <w:r>
        <w:t>En general  existe una diferencia de</w:t>
      </w:r>
      <w:r w:rsidR="000E204E">
        <w:t xml:space="preserve"> </w:t>
      </w:r>
      <w:r w:rsidR="00C974B6">
        <w:t>7</w:t>
      </w:r>
      <w:r w:rsidR="004B0077">
        <w:t>%</w:t>
      </w:r>
      <w:r>
        <w:t xml:space="preserve"> </w:t>
      </w:r>
      <w:r w:rsidR="00C974B6">
        <w:t>mas</w:t>
      </w:r>
      <w:r>
        <w:t xml:space="preserve"> lo ejercido contra lo que se había presupuestado lo cual asciende a $ </w:t>
      </w:r>
      <w:r w:rsidR="00C974B6">
        <w:t>1´774847.04</w:t>
      </w:r>
      <w:r w:rsidR="00911BC7">
        <w:t xml:space="preserve"> lo cual </w:t>
      </w:r>
      <w:r w:rsidR="00C974B6">
        <w:t xml:space="preserve"> se ha ejercido en razón a ingresos extraordinarios CNA</w:t>
      </w:r>
      <w:r w:rsidR="00911BC7">
        <w:t>.</w:t>
      </w:r>
    </w:p>
    <w:p w:rsidR="004B0077" w:rsidRDefault="004B0077" w:rsidP="009E19C7">
      <w:pPr>
        <w:jc w:val="both"/>
        <w:rPr>
          <w:b/>
        </w:rPr>
      </w:pPr>
    </w:p>
    <w:p w:rsidR="009E19C7" w:rsidRPr="003B6873" w:rsidRDefault="009E19C7" w:rsidP="009E19C7">
      <w:pPr>
        <w:jc w:val="both"/>
        <w:rPr>
          <w:b/>
        </w:rPr>
      </w:pPr>
      <w:r w:rsidRPr="003B6873">
        <w:rPr>
          <w:b/>
        </w:rPr>
        <w:t>II.   NOTAS DE GESTION ADMINISTRATIVA</w:t>
      </w:r>
    </w:p>
    <w:p w:rsidR="009E19C7" w:rsidRDefault="009E19C7" w:rsidP="009E19C7">
      <w:pPr>
        <w:jc w:val="both"/>
        <w:rPr>
          <w:b/>
        </w:rPr>
      </w:pPr>
      <w:r w:rsidRPr="003B6873">
        <w:rPr>
          <w:b/>
        </w:rPr>
        <w:t>NOTA 16.  CONSTITUCION Y OBJETO DE LA ENTIDAD</w:t>
      </w:r>
    </w:p>
    <w:p w:rsidR="009E19C7" w:rsidRDefault="009E19C7" w:rsidP="009E19C7">
      <w:pPr>
        <w:pStyle w:val="Prrafodelista"/>
        <w:numPr>
          <w:ilvl w:val="0"/>
          <w:numId w:val="9"/>
        </w:numPr>
        <w:jc w:val="both"/>
      </w:pPr>
      <w:r w:rsidRPr="002D5119">
        <w:t>El día 2 de Marzo de 1994</w:t>
      </w:r>
      <w:r>
        <w:t>, el Ayuntamiento de Caborca, Sonora</w:t>
      </w:r>
      <w:r w:rsidRPr="002D5119">
        <w:t xml:space="preserve">, celebro un convenio con la Comisión de Agua Potable y Alcantarillado del Estado de Sonora, </w:t>
      </w:r>
      <w:r>
        <w:t>con el objeto de incorporarse al Sistema de Agua Potable y alcantarillado de Sonora, así como asumir la prestación de los servicios públicos de agua potable, alcantarillado y saneamiento, bajo la modalidad de una Administración Descentralizada. En los últimos términos del referido convenio, el Ayuntamiento de Caborca se obligó a acordar la instalación del Organismo Operador Municipal a que se refiere el artículo 30, fracción I de la Ley de Agua Potable y Alcantarillado para el Estado De sonora.</w:t>
      </w:r>
    </w:p>
    <w:p w:rsidR="009E19C7" w:rsidRPr="00A0279F" w:rsidRDefault="009E19C7" w:rsidP="009E19C7">
      <w:pPr>
        <w:jc w:val="both"/>
        <w:rPr>
          <w:b/>
          <w:sz w:val="24"/>
          <w:szCs w:val="24"/>
        </w:rPr>
      </w:pPr>
    </w:p>
    <w:p w:rsidR="009E19C7" w:rsidRDefault="009E19C7" w:rsidP="009E19C7">
      <w:pPr>
        <w:jc w:val="both"/>
        <w:rPr>
          <w:b/>
          <w:sz w:val="24"/>
          <w:szCs w:val="24"/>
        </w:rPr>
      </w:pPr>
      <w:r w:rsidRPr="00A0279F">
        <w:rPr>
          <w:b/>
          <w:sz w:val="24"/>
          <w:szCs w:val="24"/>
        </w:rPr>
        <w:t xml:space="preserve">Continuación Nota 16 </w:t>
      </w:r>
    </w:p>
    <w:p w:rsidR="009E19C7" w:rsidRDefault="009E19C7" w:rsidP="009E19C7">
      <w:pPr>
        <w:jc w:val="both"/>
        <w:rPr>
          <w:sz w:val="24"/>
          <w:szCs w:val="24"/>
        </w:rPr>
      </w:pPr>
      <w:r w:rsidRPr="00A0279F">
        <w:rPr>
          <w:sz w:val="24"/>
          <w:szCs w:val="24"/>
        </w:rPr>
        <w:t xml:space="preserve">El día 07 de julio de 1994 se publicó en el boletín oficial del estado de Sonora acuerdo con el cual </w:t>
      </w:r>
      <w:r>
        <w:rPr>
          <w:sz w:val="24"/>
          <w:szCs w:val="24"/>
        </w:rPr>
        <w:t>se instala e integra el organismo operador municipal de agua potable, alcantarillado y saneamiento de Caborca cuya denominación será Organismo Operador Municipal de Agua Potable, alcantarillado y Saneamiento de Caborca, Sonora (  O.O.M.A.P.A.S. de Caborca ), dicho organismo cuenta con personalidad jurídica y patrimonio propio por lo que asumirá funciones de autoridad administrativa, mediante el ejercicio de las atribuciones que le confiere la Ley 104 de Agua Potable y alcantarillado para el Estado de Sonora.</w:t>
      </w:r>
    </w:p>
    <w:p w:rsidR="009E19C7" w:rsidRDefault="009E19C7" w:rsidP="009E19C7">
      <w:pPr>
        <w:jc w:val="both"/>
        <w:rPr>
          <w:sz w:val="24"/>
          <w:szCs w:val="24"/>
        </w:rPr>
      </w:pPr>
    </w:p>
    <w:p w:rsidR="009E19C7" w:rsidRDefault="009E19C7" w:rsidP="009E19C7">
      <w:pPr>
        <w:jc w:val="both"/>
        <w:rPr>
          <w:sz w:val="24"/>
          <w:szCs w:val="24"/>
        </w:rPr>
      </w:pPr>
      <w:r>
        <w:rPr>
          <w:sz w:val="24"/>
          <w:szCs w:val="24"/>
        </w:rPr>
        <w:t xml:space="preserve">El presente acuerdo crea al OOMAPAS Caborca, formando parte de la administración Para-municipal y regula su organización y funcionamiento, atendiendo a lo dispuesto por la citada Ley </w:t>
      </w:r>
      <w:r w:rsidR="0052271B">
        <w:rPr>
          <w:sz w:val="24"/>
          <w:szCs w:val="24"/>
        </w:rPr>
        <w:t>104</w:t>
      </w:r>
      <w:r>
        <w:rPr>
          <w:sz w:val="24"/>
          <w:szCs w:val="24"/>
        </w:rPr>
        <w:t xml:space="preserve"> y a la legislación que regula la administración Para-municipal.</w:t>
      </w:r>
      <w:r w:rsidR="0052271B">
        <w:rPr>
          <w:sz w:val="24"/>
          <w:szCs w:val="24"/>
        </w:rPr>
        <w:t xml:space="preserve"> Actualmente Ley 249</w:t>
      </w:r>
    </w:p>
    <w:p w:rsidR="00911BC7" w:rsidRDefault="00911BC7" w:rsidP="009E19C7">
      <w:pPr>
        <w:jc w:val="both"/>
        <w:rPr>
          <w:sz w:val="24"/>
          <w:szCs w:val="24"/>
        </w:rPr>
      </w:pPr>
    </w:p>
    <w:p w:rsidR="00911BC7" w:rsidRDefault="00911BC7" w:rsidP="009E19C7">
      <w:pPr>
        <w:jc w:val="both"/>
        <w:rPr>
          <w:sz w:val="24"/>
          <w:szCs w:val="24"/>
        </w:rPr>
      </w:pPr>
    </w:p>
    <w:p w:rsidR="00AD7826" w:rsidRDefault="00AD7826" w:rsidP="009E19C7">
      <w:pPr>
        <w:jc w:val="both"/>
        <w:rPr>
          <w:sz w:val="24"/>
          <w:szCs w:val="24"/>
        </w:rPr>
      </w:pPr>
    </w:p>
    <w:p w:rsidR="00AD7826" w:rsidRDefault="00AD7826" w:rsidP="009E19C7">
      <w:pPr>
        <w:jc w:val="both"/>
        <w:rPr>
          <w:sz w:val="24"/>
          <w:szCs w:val="24"/>
        </w:rPr>
      </w:pPr>
    </w:p>
    <w:p w:rsidR="009E19C7" w:rsidRPr="00261D0E" w:rsidRDefault="009E19C7" w:rsidP="009E19C7">
      <w:pPr>
        <w:pStyle w:val="Prrafodelista"/>
        <w:numPr>
          <w:ilvl w:val="0"/>
          <w:numId w:val="9"/>
        </w:numPr>
        <w:jc w:val="both"/>
        <w:rPr>
          <w:b/>
          <w:sz w:val="24"/>
          <w:szCs w:val="24"/>
        </w:rPr>
      </w:pPr>
      <w:r w:rsidRPr="00261D0E">
        <w:rPr>
          <w:b/>
          <w:sz w:val="24"/>
          <w:szCs w:val="24"/>
        </w:rPr>
        <w:lastRenderedPageBreak/>
        <w:t>Objeto de la entidad:</w:t>
      </w:r>
    </w:p>
    <w:p w:rsidR="009E19C7" w:rsidRDefault="009E19C7" w:rsidP="009E19C7">
      <w:pPr>
        <w:pStyle w:val="Prrafodelista"/>
        <w:jc w:val="both"/>
        <w:rPr>
          <w:sz w:val="24"/>
          <w:szCs w:val="24"/>
        </w:rPr>
      </w:pPr>
    </w:p>
    <w:p w:rsidR="00911BC7" w:rsidRPr="002D7383" w:rsidRDefault="00911BC7" w:rsidP="009E19C7">
      <w:pPr>
        <w:pStyle w:val="Prrafodelista"/>
        <w:jc w:val="both"/>
        <w:rPr>
          <w:sz w:val="24"/>
          <w:szCs w:val="24"/>
        </w:rPr>
      </w:pPr>
    </w:p>
    <w:p w:rsidR="009E19C7" w:rsidRDefault="009E19C7" w:rsidP="009E19C7">
      <w:pPr>
        <w:jc w:val="both"/>
        <w:rPr>
          <w:sz w:val="24"/>
          <w:szCs w:val="24"/>
        </w:rPr>
      </w:pPr>
      <w:r>
        <w:rPr>
          <w:sz w:val="24"/>
          <w:szCs w:val="24"/>
        </w:rPr>
        <w:t>El OOMAPAS, Caborca, se integró principalmente con el objeto de administrar, operar, mantener, conservar y mejorar el servicio público de agua potable y alcantarillado y los servicios relativos al saneamiento a los centros de población y asentamientos humanos, urbanos y rurales del Municipio de Caborca, Sonora , así como el de construir, rehabilitar la infraestructura adquirida para la prestación de los servicios públicos a su cargo, además de los servicios conexos como la de tratamiento de aguas residuales y manejos de lodos.</w:t>
      </w:r>
    </w:p>
    <w:p w:rsidR="009E19C7" w:rsidRDefault="009E19C7" w:rsidP="009E19C7">
      <w:pPr>
        <w:jc w:val="both"/>
        <w:rPr>
          <w:sz w:val="24"/>
          <w:szCs w:val="24"/>
        </w:rPr>
      </w:pPr>
    </w:p>
    <w:p w:rsidR="009E19C7" w:rsidRDefault="009E19C7" w:rsidP="009E19C7">
      <w:pPr>
        <w:jc w:val="both"/>
        <w:rPr>
          <w:sz w:val="24"/>
          <w:szCs w:val="24"/>
        </w:rPr>
      </w:pPr>
      <w:r>
        <w:rPr>
          <w:sz w:val="24"/>
          <w:szCs w:val="24"/>
        </w:rPr>
        <w:t>NOTA 17. PRINCIPALES POLITICAS Y PRACTICAS CONTABLES:</w:t>
      </w:r>
    </w:p>
    <w:p w:rsidR="00911BC7" w:rsidRDefault="00911BC7" w:rsidP="009E19C7">
      <w:pPr>
        <w:jc w:val="both"/>
        <w:rPr>
          <w:sz w:val="24"/>
          <w:szCs w:val="24"/>
        </w:rPr>
      </w:pPr>
    </w:p>
    <w:p w:rsidR="009E19C7" w:rsidRDefault="009E19C7" w:rsidP="009E19C7">
      <w:pPr>
        <w:jc w:val="both"/>
        <w:rPr>
          <w:sz w:val="24"/>
          <w:szCs w:val="24"/>
        </w:rPr>
      </w:pPr>
      <w:r>
        <w:rPr>
          <w:sz w:val="24"/>
          <w:szCs w:val="24"/>
        </w:rPr>
        <w:t>A continuación se presenta un resumen de las políticas contables y prácticas más significativas utilizadas en la preparación de los estados financieros.</w:t>
      </w:r>
    </w:p>
    <w:p w:rsidR="00911BC7" w:rsidRDefault="00911BC7" w:rsidP="009E19C7">
      <w:pPr>
        <w:jc w:val="both"/>
        <w:rPr>
          <w:sz w:val="24"/>
          <w:szCs w:val="24"/>
        </w:rPr>
      </w:pPr>
    </w:p>
    <w:p w:rsidR="009E19C7" w:rsidRPr="000D735A" w:rsidRDefault="009E19C7" w:rsidP="009E19C7">
      <w:pPr>
        <w:pStyle w:val="Prrafodelista"/>
        <w:numPr>
          <w:ilvl w:val="0"/>
          <w:numId w:val="10"/>
        </w:numPr>
        <w:jc w:val="both"/>
        <w:rPr>
          <w:b/>
          <w:sz w:val="24"/>
          <w:szCs w:val="24"/>
        </w:rPr>
      </w:pPr>
      <w:r w:rsidRPr="000D735A">
        <w:rPr>
          <w:b/>
          <w:sz w:val="24"/>
          <w:szCs w:val="24"/>
        </w:rPr>
        <w:t>Bases para la preparación de los Estados Financieros:</w:t>
      </w:r>
    </w:p>
    <w:p w:rsidR="009E19C7" w:rsidRPr="000D735A" w:rsidRDefault="009E19C7" w:rsidP="009E19C7">
      <w:pPr>
        <w:pStyle w:val="Prrafodelista"/>
        <w:jc w:val="both"/>
        <w:rPr>
          <w:sz w:val="24"/>
          <w:szCs w:val="24"/>
        </w:rPr>
      </w:pPr>
    </w:p>
    <w:p w:rsidR="009E19C7" w:rsidRDefault="009E19C7" w:rsidP="009E19C7">
      <w:pPr>
        <w:pStyle w:val="Prrafodelista"/>
        <w:jc w:val="both"/>
        <w:rPr>
          <w:sz w:val="24"/>
          <w:szCs w:val="24"/>
        </w:rPr>
      </w:pPr>
      <w:r w:rsidRPr="000D735A">
        <w:rPr>
          <w:sz w:val="24"/>
          <w:szCs w:val="24"/>
        </w:rPr>
        <w:t>Los estados financieros están preparados de acuerdo</w:t>
      </w:r>
      <w:r>
        <w:rPr>
          <w:sz w:val="24"/>
          <w:szCs w:val="24"/>
        </w:rPr>
        <w:t xml:space="preserve"> con principios básicos de contabilidad gubernamental derivados de la normatividad aplicable para la Entidad mismos que la identifican y delimitan, y determinan las bases de valuación y revelación de la información financiera, vigentes hasta el 31 de diciembre de 2008.</w:t>
      </w:r>
    </w:p>
    <w:p w:rsidR="009E19C7" w:rsidRDefault="009E19C7" w:rsidP="009E19C7">
      <w:pPr>
        <w:pStyle w:val="Prrafodelista"/>
        <w:jc w:val="both"/>
        <w:rPr>
          <w:sz w:val="24"/>
          <w:szCs w:val="24"/>
        </w:rPr>
      </w:pPr>
    </w:p>
    <w:p w:rsidR="0052271B" w:rsidRDefault="0052271B" w:rsidP="009E19C7">
      <w:pPr>
        <w:pStyle w:val="Prrafodelista"/>
        <w:jc w:val="both"/>
        <w:rPr>
          <w:sz w:val="24"/>
          <w:szCs w:val="24"/>
        </w:rPr>
      </w:pPr>
    </w:p>
    <w:p w:rsidR="006B667B" w:rsidRDefault="006B667B"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Costo Histórico:</w:t>
      </w:r>
    </w:p>
    <w:p w:rsidR="009E19C7" w:rsidRDefault="009E19C7" w:rsidP="009E19C7">
      <w:pPr>
        <w:pStyle w:val="Prrafodelista"/>
        <w:jc w:val="both"/>
        <w:rPr>
          <w:sz w:val="24"/>
          <w:szCs w:val="24"/>
        </w:rPr>
      </w:pPr>
    </w:p>
    <w:p w:rsidR="009E19C7" w:rsidRDefault="009E19C7" w:rsidP="009E19C7">
      <w:pPr>
        <w:pStyle w:val="Prrafodelista"/>
        <w:jc w:val="both"/>
        <w:rPr>
          <w:sz w:val="24"/>
          <w:szCs w:val="24"/>
        </w:rPr>
      </w:pPr>
      <w:r>
        <w:rPr>
          <w:sz w:val="24"/>
          <w:szCs w:val="24"/>
        </w:rPr>
        <w:t xml:space="preserve">Los bienes se registran a su costo de adquisición. No se  reconocen los efectos de la inflación en los estados financieros, en términos del Boletín B-+10 del Instituto Mexicano de Contadores Públicos. Las cifras incluidas en los estados financieros fueron determinadas con base en costos históricos, debido a que el organismo es una institución </w:t>
      </w:r>
      <w:r w:rsidR="0052271B">
        <w:rPr>
          <w:sz w:val="24"/>
          <w:szCs w:val="24"/>
        </w:rPr>
        <w:t>con</w:t>
      </w:r>
      <w:r>
        <w:rPr>
          <w:sz w:val="24"/>
          <w:szCs w:val="24"/>
        </w:rPr>
        <w:t xml:space="preserve"> fines no lucrativos, y no tiene como propósito fundamental darle mantenimiento financiero a su patrimonio, premisa básica para el reconocimiento de los efectos de la inflación en la información financiera. </w:t>
      </w:r>
    </w:p>
    <w:p w:rsidR="009E19C7" w:rsidRDefault="009E19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Base de Registro:</w:t>
      </w:r>
    </w:p>
    <w:p w:rsidR="009E19C7" w:rsidRDefault="009E19C7" w:rsidP="009E19C7">
      <w:pPr>
        <w:pStyle w:val="Prrafodelista"/>
        <w:jc w:val="both"/>
        <w:rPr>
          <w:sz w:val="24"/>
          <w:szCs w:val="24"/>
        </w:rPr>
      </w:pPr>
      <w:r>
        <w:rPr>
          <w:sz w:val="24"/>
          <w:szCs w:val="24"/>
        </w:rPr>
        <w:t>Se utiliza la base de registro contable denominada “base acumulativa” que consiste en registrar todas las transacciones efectuadas por la entidad, en base a lo devengad</w:t>
      </w:r>
      <w:r w:rsidR="0052271B">
        <w:rPr>
          <w:sz w:val="24"/>
          <w:szCs w:val="24"/>
        </w:rPr>
        <w:t>o</w:t>
      </w:r>
      <w:r>
        <w:rPr>
          <w:sz w:val="24"/>
          <w:szCs w:val="24"/>
        </w:rPr>
        <w:t>, independientemente de que impliquen o no movimiento de efectivo.</w:t>
      </w:r>
    </w:p>
    <w:p w:rsidR="009E19C7" w:rsidRDefault="009E19C7"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Legalidad:</w:t>
      </w:r>
    </w:p>
    <w:p w:rsidR="009E19C7" w:rsidRDefault="009E19C7" w:rsidP="009E19C7">
      <w:pPr>
        <w:pStyle w:val="Prrafodelista"/>
        <w:jc w:val="both"/>
        <w:rPr>
          <w:sz w:val="24"/>
          <w:szCs w:val="24"/>
        </w:rPr>
      </w:pPr>
      <w:r>
        <w:rPr>
          <w:sz w:val="24"/>
          <w:szCs w:val="24"/>
        </w:rPr>
        <w:t>De acuerdo a la práctica contable, todas las operaciones celebradas deben observar las disposiciones legales contenidas en las diversas Leyes y Reglamentos Gubernamentales. Cuando existen conflictos contra las Normas de Información Financiera Gubernamental se da preferencia a las disposiciones legales.</w:t>
      </w:r>
    </w:p>
    <w:p w:rsidR="009E19C7" w:rsidRDefault="009E19C7"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Inversiones disponibles a la vista:</w:t>
      </w:r>
    </w:p>
    <w:p w:rsidR="009E19C7" w:rsidRDefault="009E19C7" w:rsidP="009E19C7">
      <w:pPr>
        <w:pStyle w:val="Prrafodelista"/>
        <w:jc w:val="both"/>
        <w:rPr>
          <w:sz w:val="24"/>
          <w:szCs w:val="24"/>
        </w:rPr>
      </w:pPr>
      <w:r>
        <w:rPr>
          <w:sz w:val="24"/>
          <w:szCs w:val="24"/>
        </w:rPr>
        <w:t>Se registra el Costo de adquisición que es igual a su valor de mercado. Los interese se registran conforme se devengan.</w:t>
      </w:r>
    </w:p>
    <w:p w:rsidR="009E19C7" w:rsidRDefault="009E19C7" w:rsidP="009E19C7">
      <w:pPr>
        <w:pStyle w:val="Prrafodelista"/>
        <w:numPr>
          <w:ilvl w:val="0"/>
          <w:numId w:val="10"/>
        </w:numPr>
        <w:jc w:val="both"/>
        <w:rPr>
          <w:sz w:val="24"/>
          <w:szCs w:val="24"/>
        </w:rPr>
      </w:pPr>
      <w:r>
        <w:rPr>
          <w:sz w:val="24"/>
          <w:szCs w:val="24"/>
        </w:rPr>
        <w:t>Cuentas por cobrar:</w:t>
      </w:r>
    </w:p>
    <w:p w:rsidR="009E19C7" w:rsidRDefault="009E19C7" w:rsidP="009E19C7">
      <w:pPr>
        <w:pStyle w:val="Prrafodelista"/>
        <w:jc w:val="both"/>
        <w:rPr>
          <w:sz w:val="24"/>
          <w:szCs w:val="24"/>
        </w:rPr>
      </w:pPr>
      <w:r>
        <w:rPr>
          <w:sz w:val="24"/>
          <w:szCs w:val="24"/>
        </w:rPr>
        <w:t>No existe una reserva para cuentas incobrables, aquellas que se consideran irrecuperables se cancelan en el ejercicio en que se conocen previa autorización.</w:t>
      </w:r>
    </w:p>
    <w:p w:rsidR="009E19C7" w:rsidRDefault="009E19C7"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Inventarios.</w:t>
      </w:r>
    </w:p>
    <w:p w:rsidR="009E19C7" w:rsidRDefault="009E19C7" w:rsidP="009E19C7">
      <w:pPr>
        <w:pStyle w:val="Prrafodelista"/>
        <w:jc w:val="both"/>
        <w:rPr>
          <w:sz w:val="24"/>
          <w:szCs w:val="24"/>
        </w:rPr>
      </w:pPr>
      <w:r>
        <w:rPr>
          <w:sz w:val="24"/>
          <w:szCs w:val="24"/>
        </w:rPr>
        <w:t>Con el reporte de movimientos (altas y bajas) del inventario de mercancías se actualiza mensualmente el saldo de este renglón. Estos inventarios se cargan al gasto correspondiente.</w:t>
      </w:r>
    </w:p>
    <w:p w:rsidR="009E19C7" w:rsidRDefault="009E19C7"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Propiedades. Mobiliario y equipo:</w:t>
      </w:r>
    </w:p>
    <w:p w:rsidR="009E19C7" w:rsidRDefault="009E19C7" w:rsidP="009E19C7">
      <w:pPr>
        <w:pStyle w:val="Prrafodelista"/>
        <w:jc w:val="both"/>
        <w:rPr>
          <w:sz w:val="24"/>
          <w:szCs w:val="24"/>
        </w:rPr>
      </w:pPr>
      <w:r>
        <w:rPr>
          <w:sz w:val="24"/>
          <w:szCs w:val="24"/>
        </w:rPr>
        <w:t>Las inversiones en propiedades, mobiliario y equipo se registran originalmente a su costo de adquisición y en caso de los bienes donados a se registran al valor asignado por el donante.</w:t>
      </w:r>
    </w:p>
    <w:p w:rsidR="009E19C7" w:rsidRDefault="009E19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E19C7" w:rsidRDefault="009E19C7" w:rsidP="009E19C7">
      <w:pPr>
        <w:pStyle w:val="Prrafodelista"/>
        <w:jc w:val="both"/>
        <w:rPr>
          <w:sz w:val="24"/>
          <w:szCs w:val="24"/>
        </w:rPr>
      </w:pPr>
      <w:r>
        <w:rPr>
          <w:sz w:val="24"/>
          <w:szCs w:val="24"/>
        </w:rPr>
        <w:lastRenderedPageBreak/>
        <w:t>De acuerdo a los principios básicos de contabilidad gubernamental, las adquisiciones de activo fijo se registran como gasto del ejercicio y en forma simultánea se contabilizan en el activo fijo en un aumento al patrimonio. Con base en lo anterior, la entidad no registra ninguna depreciación de los bienes que integran el activo fijo. Con  base en lo anterior, el organismo no registra ninguna depreciación de los bienes que integran este rubro.</w:t>
      </w:r>
    </w:p>
    <w:p w:rsidR="009E19C7" w:rsidRDefault="009E19C7" w:rsidP="009E19C7">
      <w:pPr>
        <w:pStyle w:val="Prrafodelista"/>
        <w:jc w:val="both"/>
        <w:rPr>
          <w:sz w:val="24"/>
          <w:szCs w:val="24"/>
        </w:rPr>
      </w:pPr>
      <w:r>
        <w:rPr>
          <w:sz w:val="24"/>
          <w:szCs w:val="24"/>
        </w:rPr>
        <w:t xml:space="preserve">Por otro lado, aun y cuando CONAC  emitió las disposiciones técnicas normativas relativas a la determinación de la estimación de depreciación y deterioro la entidad </w:t>
      </w:r>
      <w:r w:rsidR="0052271B">
        <w:rPr>
          <w:sz w:val="24"/>
          <w:szCs w:val="24"/>
        </w:rPr>
        <w:t>est</w:t>
      </w:r>
      <w:r w:rsidR="006B667B">
        <w:rPr>
          <w:sz w:val="24"/>
          <w:szCs w:val="24"/>
        </w:rPr>
        <w:t>á</w:t>
      </w:r>
      <w:r w:rsidR="0052271B">
        <w:rPr>
          <w:sz w:val="24"/>
          <w:szCs w:val="24"/>
        </w:rPr>
        <w:t xml:space="preserve"> en proceso de elaboración de cat</w:t>
      </w:r>
      <w:r w:rsidR="006B667B">
        <w:rPr>
          <w:sz w:val="24"/>
          <w:szCs w:val="24"/>
        </w:rPr>
        <w:t>á</w:t>
      </w:r>
      <w:r w:rsidR="0052271B">
        <w:rPr>
          <w:sz w:val="24"/>
          <w:szCs w:val="24"/>
        </w:rPr>
        <w:t xml:space="preserve">logo de bienes para </w:t>
      </w:r>
      <w:r w:rsidR="00195F07">
        <w:rPr>
          <w:sz w:val="24"/>
          <w:szCs w:val="24"/>
        </w:rPr>
        <w:t xml:space="preserve">realizar los ajustes correspondientes y se </w:t>
      </w:r>
      <w:r>
        <w:rPr>
          <w:sz w:val="24"/>
          <w:szCs w:val="24"/>
        </w:rPr>
        <w:t xml:space="preserve"> realicen los registros contables con base en las Reglas de Registro y Valoración del Patrimonio.</w:t>
      </w:r>
    </w:p>
    <w:p w:rsidR="009E19C7" w:rsidRDefault="009E19C7"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Se tienen la práctica de registrar al 100% de la facturación del padrón de usuarios cargándose a “Deudores por Servicio” (Cuenta de activo), contra “Servicios Pendientes de Cobro”) Cuenta de pasivo), posteriormente al momento el cobro de los servicios, se registra contra “Derechos por Servicios y Conexiones” (Cuenta de resultados acreedora) y conjuntamente con este último registro se disminuye la cuenta por cobrar “Deudores por servicio” contra “Servicios Pendientes de Cobro”.</w:t>
      </w:r>
    </w:p>
    <w:p w:rsidR="00911BC7" w:rsidRDefault="00911BC7" w:rsidP="009E19C7">
      <w:pPr>
        <w:jc w:val="both"/>
        <w:rPr>
          <w:sz w:val="24"/>
          <w:szCs w:val="24"/>
        </w:rPr>
      </w:pPr>
    </w:p>
    <w:p w:rsidR="009E19C7" w:rsidRDefault="009E19C7" w:rsidP="009E19C7">
      <w:pPr>
        <w:jc w:val="both"/>
        <w:rPr>
          <w:sz w:val="24"/>
          <w:szCs w:val="24"/>
        </w:rPr>
      </w:pPr>
      <w:r>
        <w:rPr>
          <w:sz w:val="24"/>
          <w:szCs w:val="24"/>
        </w:rPr>
        <w:t>Por otro lado,  los ingresos por APORTACIONES, se reconocen cuando se cobran o se reciben.</w:t>
      </w:r>
    </w:p>
    <w:p w:rsidR="009E19C7" w:rsidRDefault="009E19C7" w:rsidP="009E19C7">
      <w:pPr>
        <w:jc w:val="both"/>
        <w:rPr>
          <w:sz w:val="24"/>
          <w:szCs w:val="24"/>
        </w:rPr>
      </w:pPr>
    </w:p>
    <w:p w:rsidR="009E19C7" w:rsidRDefault="009E19C7" w:rsidP="009E19C7">
      <w:pPr>
        <w:pStyle w:val="Prrafodelista"/>
        <w:numPr>
          <w:ilvl w:val="0"/>
          <w:numId w:val="10"/>
        </w:numPr>
        <w:jc w:val="both"/>
        <w:rPr>
          <w:sz w:val="24"/>
          <w:szCs w:val="24"/>
        </w:rPr>
      </w:pPr>
      <w:r>
        <w:rPr>
          <w:sz w:val="24"/>
          <w:szCs w:val="24"/>
        </w:rPr>
        <w:t>Egresos[:</w:t>
      </w:r>
    </w:p>
    <w:p w:rsidR="009E19C7" w:rsidRDefault="009E19C7" w:rsidP="009E19C7">
      <w:pPr>
        <w:pStyle w:val="Prrafodelista"/>
        <w:jc w:val="both"/>
        <w:rPr>
          <w:sz w:val="24"/>
          <w:szCs w:val="24"/>
        </w:rPr>
      </w:pPr>
      <w:r>
        <w:rPr>
          <w:sz w:val="24"/>
          <w:szCs w:val="24"/>
        </w:rPr>
        <w:t>Los egresos se registran al momento de su erogación, a excepción de ciertas previsiones que se cubrirán en el corto plazo y que se crean como pasivo a fin de cada período.</w:t>
      </w:r>
    </w:p>
    <w:p w:rsidR="009E19C7" w:rsidRDefault="009E19C7"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Provisiones, pasivos contingentes y compromisos:</w:t>
      </w:r>
    </w:p>
    <w:p w:rsidR="009E19C7" w:rsidRDefault="009E19C7" w:rsidP="009E19C7">
      <w:pPr>
        <w:pStyle w:val="Prrafodelista"/>
        <w:jc w:val="both"/>
        <w:rPr>
          <w:sz w:val="24"/>
          <w:szCs w:val="24"/>
        </w:rPr>
      </w:pPr>
      <w:r>
        <w:rPr>
          <w:sz w:val="24"/>
          <w:szCs w:val="24"/>
        </w:rPr>
        <w:t>La entidad reconoce pasivos contingentes y compromisos solamente cuando es exigible una salida de recursos.</w:t>
      </w:r>
    </w:p>
    <w:p w:rsidR="009E19C7" w:rsidRDefault="009E19C7"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Prima de antigüedad y pagos por separación del personal</w:t>
      </w:r>
    </w:p>
    <w:p w:rsidR="009E19C7" w:rsidRDefault="009E19C7" w:rsidP="009E19C7">
      <w:pPr>
        <w:pStyle w:val="Prrafodelista"/>
        <w:jc w:val="both"/>
        <w:rPr>
          <w:sz w:val="24"/>
          <w:szCs w:val="24"/>
        </w:rPr>
      </w:pPr>
      <w:r>
        <w:rPr>
          <w:sz w:val="24"/>
          <w:szCs w:val="24"/>
        </w:rPr>
        <w:t>Las primas de antigüedad de indemnizaciones a que tiene derecho el personal se otorgan conforme a lo establecido en la Ley federal del trabajo para el Estado de Sonora, y los pagos se cargan a la provisión para las contingencias en el año en que se hace exigible una salida de recursos o se reconocen como egreso en el año que se pagan.</w:t>
      </w:r>
    </w:p>
    <w:p w:rsidR="009E19C7" w:rsidRDefault="009E19C7" w:rsidP="009E19C7">
      <w:pPr>
        <w:pStyle w:val="Prrafodelista"/>
        <w:jc w:val="both"/>
        <w:rPr>
          <w:sz w:val="24"/>
          <w:szCs w:val="24"/>
        </w:rPr>
      </w:pPr>
    </w:p>
    <w:p w:rsidR="009E19C7" w:rsidRDefault="009E19C7"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Remanente de ejercicios anteriores</w:t>
      </w:r>
    </w:p>
    <w:p w:rsidR="009E19C7" w:rsidRDefault="009E19C7" w:rsidP="009E19C7">
      <w:pPr>
        <w:pStyle w:val="Prrafodelista"/>
        <w:jc w:val="both"/>
        <w:rPr>
          <w:sz w:val="24"/>
          <w:szCs w:val="24"/>
        </w:rPr>
      </w:pPr>
      <w:r>
        <w:rPr>
          <w:sz w:val="24"/>
          <w:szCs w:val="24"/>
        </w:rPr>
        <w:t>Los remanentes generados en cada ejercicio, se transfieren a los ingresos del siguiente, para su aplicación a los programas sociales.</w:t>
      </w:r>
    </w:p>
    <w:p w:rsidR="009E19C7" w:rsidRDefault="009E19C7" w:rsidP="009E19C7">
      <w:pPr>
        <w:pStyle w:val="Prrafodelista"/>
        <w:jc w:val="both"/>
        <w:rPr>
          <w:sz w:val="24"/>
          <w:szCs w:val="24"/>
        </w:rPr>
      </w:pPr>
    </w:p>
    <w:p w:rsidR="009E19C7" w:rsidRDefault="009E19C7"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Entorno fiscal</w:t>
      </w:r>
    </w:p>
    <w:p w:rsidR="009E19C7" w:rsidRDefault="009E19C7" w:rsidP="009E19C7">
      <w:pPr>
        <w:pStyle w:val="Prrafodelista"/>
        <w:jc w:val="both"/>
        <w:rPr>
          <w:sz w:val="24"/>
          <w:szCs w:val="24"/>
        </w:rPr>
      </w:pPr>
      <w:r>
        <w:rPr>
          <w:sz w:val="24"/>
          <w:szCs w:val="24"/>
        </w:rPr>
        <w:t>La entidad no es sujeta al Impuesto Sobre la Renta ni al Impuesto Empresarial a Tasa Única, sin embargo tiene la obligación de retener el impuesto Sobre la Renta y exigir que la documentación reúna los requisitos fiscales cuando se efectúan los pagos a terceros y estén obligados a ello, de acuerdo a la ley.</w:t>
      </w:r>
    </w:p>
    <w:p w:rsidR="009E19C7" w:rsidRDefault="009E19C7"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Control presupuestal</w:t>
      </w:r>
    </w:p>
    <w:p w:rsidR="009E19C7" w:rsidRDefault="009E19C7" w:rsidP="009E19C7">
      <w:pPr>
        <w:pStyle w:val="Prrafodelista"/>
        <w:jc w:val="both"/>
        <w:rPr>
          <w:sz w:val="24"/>
          <w:szCs w:val="24"/>
        </w:rPr>
      </w:pPr>
      <w:r>
        <w:rPr>
          <w:sz w:val="24"/>
          <w:szCs w:val="24"/>
        </w:rPr>
        <w:t>La Entidad observa a través de sus sistemas contables el control de sus ingresos y el ejercicio presupuestal del gasto examinando sus variaciones con respecto al presupuesto autorizado, así como su vinculación con el avance físico y financiero de los proyectos programados. Su finalidad de control es de evaluar los resultados obtenidos respecto de los objetivos previstos al iniciar el ejercicio, utilizando con carácter de obligatorio a partir de 2015 el registro en cuentas de orden de manejo presupuestal, atendiendo el sistema de contabilidad gubernamental que conlleva a la armonización contable.</w:t>
      </w:r>
    </w:p>
    <w:p w:rsidR="00582CAD" w:rsidRDefault="00582CAD" w:rsidP="009E19C7">
      <w:pPr>
        <w:pStyle w:val="Prrafodelista"/>
        <w:jc w:val="both"/>
        <w:rPr>
          <w:sz w:val="24"/>
          <w:szCs w:val="24"/>
        </w:rPr>
      </w:pPr>
    </w:p>
    <w:p w:rsidR="009E19C7" w:rsidRDefault="009E19C7"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Nuevos plazos para la emisión de reportes financieros:</w:t>
      </w:r>
    </w:p>
    <w:p w:rsidR="009E19C7" w:rsidRDefault="009E19C7" w:rsidP="009E19C7">
      <w:pPr>
        <w:pStyle w:val="Prrafodelista"/>
        <w:jc w:val="both"/>
        <w:rPr>
          <w:sz w:val="24"/>
          <w:szCs w:val="24"/>
        </w:rPr>
      </w:pPr>
      <w:r>
        <w:rPr>
          <w:sz w:val="24"/>
          <w:szCs w:val="24"/>
        </w:rPr>
        <w:t>El Comité Ejecutivo Nacional del IMCP, a través de la Vicepresidencia de Sector Gubernamental, en la Segunda Reunión del Consejo Nacional de Armonización Contable, celebrada el 3 de mayo del 2014, de la cual se destaca que los estados y municipios han logrado avances importantes y significativos en la adopción e implementación de la Ley General de Contabilidad Gubernamental (LGCG), así como que continúan los esfuerzos institucionales a fin de avanzar con el proceso de armonización contable. Sin embargo, en el diagnóstico se establece la limitante de carecer de una herramienta informática que haya dado los resultados requeridos en más de un ejercicio fiscal, de forma adecuada y probada.</w:t>
      </w:r>
    </w:p>
    <w:p w:rsidR="009E19C7" w:rsidRDefault="009E19C7" w:rsidP="009E19C7">
      <w:pPr>
        <w:pStyle w:val="Prrafodelista"/>
        <w:jc w:val="both"/>
        <w:rPr>
          <w:sz w:val="24"/>
          <w:szCs w:val="24"/>
        </w:rPr>
      </w:pPr>
    </w:p>
    <w:p w:rsidR="009E19C7" w:rsidRDefault="009E19C7" w:rsidP="009E19C7">
      <w:pPr>
        <w:pStyle w:val="Prrafodelista"/>
        <w:jc w:val="both"/>
        <w:rPr>
          <w:sz w:val="24"/>
          <w:szCs w:val="24"/>
        </w:rPr>
      </w:pPr>
      <w:r>
        <w:rPr>
          <w:sz w:val="24"/>
          <w:szCs w:val="24"/>
        </w:rPr>
        <w:t>Por lo anterior y con fundamento en las fracciones XII y XIII del artículo 9 de la Ley general de Contabilidad Gubernamental, se determinan los plazos para que la Federación, las Entidades  Federativas, y los Municipios adopten las disposiciones siguientes:</w:t>
      </w:r>
    </w:p>
    <w:p w:rsidR="009E19C7" w:rsidRDefault="009E19C7" w:rsidP="009E19C7">
      <w:pPr>
        <w:pStyle w:val="Prrafodelista"/>
        <w:jc w:val="both"/>
        <w:rPr>
          <w:sz w:val="24"/>
          <w:szCs w:val="24"/>
        </w:rPr>
      </w:pPr>
    </w:p>
    <w:p w:rsidR="002C2200" w:rsidRDefault="002C2200" w:rsidP="009E19C7">
      <w:pPr>
        <w:pStyle w:val="Prrafodelista"/>
        <w:jc w:val="both"/>
        <w:rPr>
          <w:sz w:val="24"/>
          <w:szCs w:val="24"/>
        </w:rPr>
      </w:pPr>
    </w:p>
    <w:tbl>
      <w:tblPr>
        <w:tblW w:w="10020" w:type="dxa"/>
        <w:tblCellMar>
          <w:left w:w="70" w:type="dxa"/>
          <w:right w:w="70" w:type="dxa"/>
        </w:tblCellMar>
        <w:tblLook w:val="04A0" w:firstRow="1" w:lastRow="0" w:firstColumn="1" w:lastColumn="0" w:noHBand="0" w:noVBand="1"/>
      </w:tblPr>
      <w:tblGrid>
        <w:gridCol w:w="3600"/>
        <w:gridCol w:w="3260"/>
        <w:gridCol w:w="3160"/>
      </w:tblGrid>
      <w:tr w:rsidR="009E19C7" w:rsidRPr="00A12912" w:rsidTr="009E19C7">
        <w:trPr>
          <w:trHeight w:val="600"/>
        </w:trPr>
        <w:tc>
          <w:tcPr>
            <w:tcW w:w="36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OBLIGACION</w:t>
            </w:r>
          </w:p>
        </w:tc>
        <w:tc>
          <w:tcPr>
            <w:tcW w:w="326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La Federación las Entidades Federativas y sus respectivos entes públicos a más tardar</w:t>
            </w:r>
          </w:p>
        </w:tc>
        <w:tc>
          <w:tcPr>
            <w:tcW w:w="316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Los municipios y sus entes públicos a más tardar</w:t>
            </w:r>
          </w:p>
        </w:tc>
      </w:tr>
      <w:tr w:rsidR="009E19C7" w:rsidRPr="00A12912" w:rsidTr="009E19C7">
        <w:trPr>
          <w:trHeight w:val="450"/>
        </w:trPr>
        <w:tc>
          <w:tcPr>
            <w:tcW w:w="360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2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1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r>
      <w:tr w:rsidR="009E19C7" w:rsidRPr="00A12912" w:rsidTr="009E19C7">
        <w:trPr>
          <w:trHeight w:val="450"/>
        </w:trPr>
        <w:tc>
          <w:tcPr>
            <w:tcW w:w="360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2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1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r>
      <w:tr w:rsidR="009E19C7" w:rsidRPr="00A12912" w:rsidTr="009E19C7">
        <w:trPr>
          <w:trHeight w:val="300"/>
        </w:trPr>
        <w:tc>
          <w:tcPr>
            <w:tcW w:w="3600" w:type="dxa"/>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Integración automática del ejercicio, presupuestario con la operación contable</w:t>
            </w:r>
          </w:p>
        </w:tc>
        <w:tc>
          <w:tcPr>
            <w:tcW w:w="32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30 de junio de 2014</w:t>
            </w:r>
          </w:p>
        </w:tc>
        <w:tc>
          <w:tcPr>
            <w:tcW w:w="31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30 de junio de 2015</w:t>
            </w:r>
          </w:p>
        </w:tc>
      </w:tr>
      <w:tr w:rsidR="009E19C7" w:rsidRPr="00A12912" w:rsidTr="009E19C7">
        <w:trPr>
          <w:trHeight w:val="450"/>
        </w:trPr>
        <w:tc>
          <w:tcPr>
            <w:tcW w:w="360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2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1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r>
      <w:tr w:rsidR="009E19C7" w:rsidRPr="00A12912" w:rsidTr="009E19C7">
        <w:trPr>
          <w:trHeight w:val="450"/>
        </w:trPr>
        <w:tc>
          <w:tcPr>
            <w:tcW w:w="360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2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1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r>
      <w:tr w:rsidR="009E19C7" w:rsidRPr="00A12912" w:rsidTr="009E19C7">
        <w:trPr>
          <w:trHeight w:val="300"/>
        </w:trPr>
        <w:tc>
          <w:tcPr>
            <w:tcW w:w="3600" w:type="dxa"/>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Realizar los registros contables con base en las reglas de Registro y Valoración del Patrimonio</w:t>
            </w:r>
          </w:p>
        </w:tc>
        <w:tc>
          <w:tcPr>
            <w:tcW w:w="32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31 de diciembre de 2014</w:t>
            </w:r>
          </w:p>
        </w:tc>
        <w:tc>
          <w:tcPr>
            <w:tcW w:w="31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31 de diciembre de 2015</w:t>
            </w:r>
          </w:p>
        </w:tc>
      </w:tr>
      <w:tr w:rsidR="009E19C7" w:rsidRPr="00A12912" w:rsidTr="009E19C7">
        <w:trPr>
          <w:trHeight w:val="450"/>
        </w:trPr>
        <w:tc>
          <w:tcPr>
            <w:tcW w:w="360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2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1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r>
      <w:tr w:rsidR="009E19C7" w:rsidRPr="00A12912" w:rsidTr="009E19C7">
        <w:trPr>
          <w:trHeight w:val="450"/>
        </w:trPr>
        <w:tc>
          <w:tcPr>
            <w:tcW w:w="360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2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1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r>
      <w:tr w:rsidR="009E19C7" w:rsidRPr="00A12912" w:rsidTr="009E19C7">
        <w:trPr>
          <w:trHeight w:val="300"/>
        </w:trPr>
        <w:tc>
          <w:tcPr>
            <w:tcW w:w="36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 xml:space="preserve">Generación en tiempo real de estados financieros </w:t>
            </w:r>
          </w:p>
        </w:tc>
        <w:tc>
          <w:tcPr>
            <w:tcW w:w="32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30 de junio de 2014</w:t>
            </w:r>
          </w:p>
        </w:tc>
        <w:tc>
          <w:tcPr>
            <w:tcW w:w="31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30 de junio de 2014</w:t>
            </w:r>
          </w:p>
        </w:tc>
      </w:tr>
      <w:tr w:rsidR="009E19C7" w:rsidRPr="00A12912" w:rsidTr="009E19C7">
        <w:trPr>
          <w:trHeight w:val="450"/>
        </w:trPr>
        <w:tc>
          <w:tcPr>
            <w:tcW w:w="360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2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1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r>
      <w:tr w:rsidR="009E19C7" w:rsidRPr="00A12912" w:rsidTr="009E19C7">
        <w:trPr>
          <w:trHeight w:val="450"/>
        </w:trPr>
        <w:tc>
          <w:tcPr>
            <w:tcW w:w="360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2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1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r>
      <w:tr w:rsidR="009E19C7" w:rsidRPr="00A12912" w:rsidTr="009E19C7">
        <w:trPr>
          <w:trHeight w:val="300"/>
        </w:trPr>
        <w:tc>
          <w:tcPr>
            <w:tcW w:w="36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Emisión de Cuentas Públicas en los términos acordados por el Consejo</w:t>
            </w:r>
          </w:p>
        </w:tc>
        <w:tc>
          <w:tcPr>
            <w:tcW w:w="32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Para la correspondiente a 2014</w:t>
            </w:r>
          </w:p>
        </w:tc>
        <w:tc>
          <w:tcPr>
            <w:tcW w:w="31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E19C7" w:rsidRPr="00A12912" w:rsidRDefault="009E19C7" w:rsidP="009E19C7">
            <w:pPr>
              <w:spacing w:after="0" w:line="240" w:lineRule="auto"/>
              <w:jc w:val="center"/>
              <w:rPr>
                <w:rFonts w:ascii="Calibri" w:eastAsia="Times New Roman" w:hAnsi="Calibri" w:cs="Times New Roman"/>
                <w:color w:val="000000"/>
                <w:lang w:eastAsia="es-MX"/>
              </w:rPr>
            </w:pPr>
            <w:r w:rsidRPr="00A12912">
              <w:rPr>
                <w:rFonts w:ascii="Calibri" w:eastAsia="Times New Roman" w:hAnsi="Calibri" w:cs="Times New Roman"/>
                <w:color w:val="000000"/>
                <w:lang w:eastAsia="es-MX"/>
              </w:rPr>
              <w:t>Para la correspondiente 2015</w:t>
            </w:r>
          </w:p>
        </w:tc>
      </w:tr>
      <w:tr w:rsidR="009E19C7" w:rsidRPr="00A12912" w:rsidTr="009E19C7">
        <w:trPr>
          <w:trHeight w:val="450"/>
        </w:trPr>
        <w:tc>
          <w:tcPr>
            <w:tcW w:w="360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2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1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r>
      <w:tr w:rsidR="009E19C7" w:rsidRPr="00A12912" w:rsidTr="009E19C7">
        <w:trPr>
          <w:trHeight w:val="450"/>
        </w:trPr>
        <w:tc>
          <w:tcPr>
            <w:tcW w:w="360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2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c>
          <w:tcPr>
            <w:tcW w:w="3160" w:type="dxa"/>
            <w:vMerge/>
            <w:tcBorders>
              <w:top w:val="single" w:sz="4" w:space="0" w:color="auto"/>
              <w:left w:val="single" w:sz="4" w:space="0" w:color="auto"/>
              <w:bottom w:val="single" w:sz="4" w:space="0" w:color="000000"/>
              <w:right w:val="single" w:sz="4" w:space="0" w:color="000000"/>
            </w:tcBorders>
            <w:vAlign w:val="center"/>
            <w:hideMark/>
          </w:tcPr>
          <w:p w:rsidR="009E19C7" w:rsidRPr="00A12912" w:rsidRDefault="009E19C7" w:rsidP="009E19C7">
            <w:pPr>
              <w:spacing w:after="0" w:line="240" w:lineRule="auto"/>
              <w:rPr>
                <w:rFonts w:ascii="Calibri" w:eastAsia="Times New Roman" w:hAnsi="Calibri" w:cs="Times New Roman"/>
                <w:color w:val="000000"/>
                <w:lang w:eastAsia="es-MX"/>
              </w:rPr>
            </w:pPr>
          </w:p>
        </w:tc>
      </w:tr>
    </w:tbl>
    <w:p w:rsidR="009E19C7" w:rsidRPr="00A12912" w:rsidRDefault="009E19C7" w:rsidP="009E19C7">
      <w:pPr>
        <w:jc w:val="both"/>
        <w:rPr>
          <w:sz w:val="24"/>
          <w:szCs w:val="24"/>
        </w:rPr>
      </w:pPr>
    </w:p>
    <w:p w:rsidR="009E19C7" w:rsidRDefault="009E19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11BC7" w:rsidRDefault="00911BC7" w:rsidP="009E19C7">
      <w:pPr>
        <w:pStyle w:val="Prrafodelista"/>
        <w:jc w:val="both"/>
        <w:rPr>
          <w:sz w:val="24"/>
          <w:szCs w:val="24"/>
        </w:rPr>
      </w:pPr>
    </w:p>
    <w:p w:rsidR="009E19C7" w:rsidRDefault="009E19C7" w:rsidP="009E19C7">
      <w:pPr>
        <w:pStyle w:val="Prrafodelista"/>
        <w:numPr>
          <w:ilvl w:val="0"/>
          <w:numId w:val="10"/>
        </w:numPr>
        <w:jc w:val="both"/>
        <w:rPr>
          <w:sz w:val="24"/>
          <w:szCs w:val="24"/>
        </w:rPr>
      </w:pPr>
      <w:r>
        <w:rPr>
          <w:sz w:val="24"/>
          <w:szCs w:val="24"/>
        </w:rPr>
        <w:t>Nuevo plan de cuentas contables.</w:t>
      </w:r>
    </w:p>
    <w:p w:rsidR="009E19C7" w:rsidRDefault="009E19C7" w:rsidP="009E19C7">
      <w:pPr>
        <w:ind w:left="720"/>
        <w:jc w:val="both"/>
        <w:rPr>
          <w:sz w:val="24"/>
          <w:szCs w:val="24"/>
        </w:rPr>
      </w:pPr>
      <w:r>
        <w:rPr>
          <w:sz w:val="24"/>
          <w:szCs w:val="24"/>
        </w:rPr>
        <w:t>Con motivo de la entrada en vigor de la nueva Ley de Contabilidad Gubernamental a partir del 1ero. De Enero de 2013,  la administración de la entidad, llevó a cabo la reestructuración de su catálogo de cuentas, por lo que a partir de la fecha antes señalada, los registros contables de la entidad se llevan en el nuevo plan de cuentas autorizado por la CONAC.</w:t>
      </w:r>
    </w:p>
    <w:p w:rsidR="00B13F75" w:rsidRDefault="00B13F75" w:rsidP="009E19C7">
      <w:pPr>
        <w:ind w:left="720"/>
        <w:jc w:val="both"/>
        <w:rPr>
          <w:sz w:val="24"/>
          <w:szCs w:val="24"/>
        </w:rPr>
      </w:pPr>
    </w:p>
    <w:p w:rsidR="009E19C7" w:rsidRDefault="009E19C7" w:rsidP="009E19C7">
      <w:pPr>
        <w:ind w:left="720"/>
        <w:jc w:val="both"/>
        <w:rPr>
          <w:sz w:val="24"/>
          <w:szCs w:val="24"/>
        </w:rPr>
      </w:pPr>
      <w:r>
        <w:rPr>
          <w:sz w:val="24"/>
          <w:szCs w:val="24"/>
        </w:rPr>
        <w:t xml:space="preserve">Estas notas forman parte integrante de los estados financieros del ORGANISMO OPERADOR MUNICIPAL DE AGUA POTABLE, ALCANTARILLADO Y SANEAMIENTO DE CABORCA, SONORA (OOMAPAS) </w:t>
      </w:r>
      <w:r w:rsidR="001C7BCB">
        <w:rPr>
          <w:sz w:val="24"/>
          <w:szCs w:val="24"/>
        </w:rPr>
        <w:t xml:space="preserve">al </w:t>
      </w:r>
      <w:r w:rsidR="0063584D">
        <w:rPr>
          <w:sz w:val="24"/>
          <w:szCs w:val="24"/>
        </w:rPr>
        <w:t>3</w:t>
      </w:r>
      <w:r w:rsidR="00C974B6">
        <w:rPr>
          <w:sz w:val="24"/>
          <w:szCs w:val="24"/>
        </w:rPr>
        <w:t>0</w:t>
      </w:r>
      <w:r w:rsidR="00AD7826">
        <w:rPr>
          <w:sz w:val="24"/>
          <w:szCs w:val="24"/>
        </w:rPr>
        <w:t xml:space="preserve"> de </w:t>
      </w:r>
      <w:r w:rsidR="00C974B6">
        <w:rPr>
          <w:sz w:val="24"/>
          <w:szCs w:val="24"/>
        </w:rPr>
        <w:t>Junio</w:t>
      </w:r>
      <w:r w:rsidR="00511624">
        <w:rPr>
          <w:sz w:val="24"/>
          <w:szCs w:val="24"/>
        </w:rPr>
        <w:t xml:space="preserve"> 2017</w:t>
      </w:r>
      <w:r w:rsidR="00AD7826">
        <w:rPr>
          <w:sz w:val="24"/>
          <w:szCs w:val="24"/>
        </w:rPr>
        <w:t>.</w:t>
      </w:r>
    </w:p>
    <w:p w:rsidR="009E19C7" w:rsidRPr="00A641DD" w:rsidRDefault="009E19C7" w:rsidP="009E19C7">
      <w:pPr>
        <w:ind w:left="720"/>
        <w:jc w:val="both"/>
        <w:rPr>
          <w:sz w:val="24"/>
          <w:szCs w:val="24"/>
        </w:rPr>
      </w:pPr>
      <w:bookmarkStart w:id="2" w:name="_GoBack"/>
      <w:bookmarkEnd w:id="2"/>
    </w:p>
    <w:p w:rsidR="009E19C7" w:rsidRDefault="009E19C7" w:rsidP="00E43DFF"/>
    <w:p w:rsidR="00B13F75" w:rsidRDefault="00B13F75" w:rsidP="00347BAC">
      <w:pPr>
        <w:pStyle w:val="Sinespaciado"/>
        <w:jc w:val="center"/>
      </w:pPr>
      <w:r>
        <w:t>ING. LUIS RENE DAVILA PEREZ</w:t>
      </w:r>
    </w:p>
    <w:p w:rsidR="00B13F75" w:rsidRDefault="00B13F75" w:rsidP="00347BAC">
      <w:pPr>
        <w:pStyle w:val="Sinespaciado"/>
        <w:jc w:val="center"/>
      </w:pPr>
      <w:r>
        <w:t>DIRECTOR OOMAPAS</w:t>
      </w:r>
    </w:p>
    <w:sectPr w:rsidR="00B13F75" w:rsidSect="003712BE">
      <w:headerReference w:type="default" r:id="rId7"/>
      <w:footerReference w:type="default" r:id="rId8"/>
      <w:pgSz w:w="12240" w:h="15840"/>
      <w:pgMar w:top="1985"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7DD" w:rsidRDefault="007727DD" w:rsidP="003712BE">
      <w:pPr>
        <w:spacing w:after="0" w:line="240" w:lineRule="auto"/>
      </w:pPr>
      <w:r>
        <w:separator/>
      </w:r>
    </w:p>
  </w:endnote>
  <w:endnote w:type="continuationSeparator" w:id="0">
    <w:p w:rsidR="007727DD" w:rsidRDefault="007727DD" w:rsidP="00371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9818585"/>
      <w:docPartObj>
        <w:docPartGallery w:val="Page Numbers (Bottom of Page)"/>
        <w:docPartUnique/>
      </w:docPartObj>
    </w:sdtPr>
    <w:sdtContent>
      <w:p w:rsidR="00B264AB" w:rsidRDefault="00B264AB">
        <w:pPr>
          <w:pStyle w:val="Piedepgina"/>
          <w:jc w:val="center"/>
        </w:pPr>
        <w:r>
          <w:fldChar w:fldCharType="begin"/>
        </w:r>
        <w:r>
          <w:instrText>PAGE   \* MERGEFORMAT</w:instrText>
        </w:r>
        <w:r>
          <w:fldChar w:fldCharType="separate"/>
        </w:r>
        <w:r w:rsidR="00787A78" w:rsidRPr="00787A78">
          <w:rPr>
            <w:noProof/>
            <w:lang w:val="es-ES"/>
          </w:rPr>
          <w:t>17</w:t>
        </w:r>
        <w:r>
          <w:fldChar w:fldCharType="end"/>
        </w:r>
      </w:p>
    </w:sdtContent>
  </w:sdt>
  <w:p w:rsidR="00B264AB" w:rsidRPr="003712BE" w:rsidRDefault="00B264AB" w:rsidP="003712B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7DD" w:rsidRDefault="007727DD" w:rsidP="003712BE">
      <w:pPr>
        <w:spacing w:after="0" w:line="240" w:lineRule="auto"/>
      </w:pPr>
      <w:r>
        <w:separator/>
      </w:r>
    </w:p>
  </w:footnote>
  <w:footnote w:type="continuationSeparator" w:id="0">
    <w:p w:rsidR="007727DD" w:rsidRDefault="007727DD" w:rsidP="003712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4AB" w:rsidRDefault="00B264AB" w:rsidP="003712BE">
    <w:pPr>
      <w:pStyle w:val="Encabezado"/>
      <w:jc w:val="center"/>
    </w:pPr>
    <w:r>
      <w:t>II TRIMESTRE 2017</w:t>
    </w:r>
  </w:p>
  <w:p w:rsidR="00B264AB" w:rsidRDefault="00B264AB" w:rsidP="003712BE">
    <w:pPr>
      <w:pStyle w:val="Encabezado"/>
      <w:jc w:val="center"/>
    </w:pPr>
    <w:r>
      <w:t xml:space="preserve">ORGANISMO OPERADOR MUNICIPAL DE AGUA POTABLE A Y S DE CABORCA </w:t>
    </w:r>
  </w:p>
  <w:p w:rsidR="00B264AB" w:rsidRDefault="00B264AB" w:rsidP="003712BE">
    <w:pPr>
      <w:pStyle w:val="Encabezado"/>
      <w:jc w:val="center"/>
    </w:pPr>
    <w:r>
      <w:t>NOTAS A LOS ESTADOS FINANCIEROS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627CF"/>
    <w:multiLevelType w:val="hybridMultilevel"/>
    <w:tmpl w:val="5BFA18E0"/>
    <w:lvl w:ilvl="0" w:tplc="080A0017">
      <w:start w:val="1"/>
      <w:numFmt w:val="lowerLetter"/>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 w15:restartNumberingAfterBreak="0">
    <w:nsid w:val="0ACF6548"/>
    <w:multiLevelType w:val="hybridMultilevel"/>
    <w:tmpl w:val="6CD20E0E"/>
    <w:lvl w:ilvl="0" w:tplc="24A2B564">
      <w:start w:val="1"/>
      <w:numFmt w:val="upperRoman"/>
      <w:lvlText w:val="%1."/>
      <w:lvlJc w:val="left"/>
      <w:pPr>
        <w:ind w:left="1004" w:hanging="72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 w15:restartNumberingAfterBreak="0">
    <w:nsid w:val="172C30E7"/>
    <w:multiLevelType w:val="hybridMultilevel"/>
    <w:tmpl w:val="BEF6928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2FC4837"/>
    <w:multiLevelType w:val="hybridMultilevel"/>
    <w:tmpl w:val="D1C6521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2E83899"/>
    <w:multiLevelType w:val="hybridMultilevel"/>
    <w:tmpl w:val="751C1A3C"/>
    <w:lvl w:ilvl="0" w:tplc="BB068DB0">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57748F9"/>
    <w:multiLevelType w:val="hybridMultilevel"/>
    <w:tmpl w:val="2760166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7D85DF2"/>
    <w:multiLevelType w:val="hybridMultilevel"/>
    <w:tmpl w:val="9606EEA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EEA26A6"/>
    <w:multiLevelType w:val="hybridMultilevel"/>
    <w:tmpl w:val="FE525CC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1402DFE"/>
    <w:multiLevelType w:val="hybridMultilevel"/>
    <w:tmpl w:val="CB6A19F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778327E1"/>
    <w:multiLevelType w:val="hybridMultilevel"/>
    <w:tmpl w:val="6082B3D2"/>
    <w:lvl w:ilvl="0" w:tplc="599AFFF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9"/>
  </w:num>
  <w:num w:numId="3">
    <w:abstractNumId w:val="1"/>
  </w:num>
  <w:num w:numId="4">
    <w:abstractNumId w:val="4"/>
  </w:num>
  <w:num w:numId="5">
    <w:abstractNumId w:val="6"/>
  </w:num>
  <w:num w:numId="6">
    <w:abstractNumId w:val="5"/>
  </w:num>
  <w:num w:numId="7">
    <w:abstractNumId w:val="7"/>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DFF"/>
    <w:rsid w:val="000101EF"/>
    <w:rsid w:val="00010FC7"/>
    <w:rsid w:val="00017F4F"/>
    <w:rsid w:val="000413AB"/>
    <w:rsid w:val="00061D2C"/>
    <w:rsid w:val="00074770"/>
    <w:rsid w:val="00087260"/>
    <w:rsid w:val="00096C34"/>
    <w:rsid w:val="000C73DC"/>
    <w:rsid w:val="000E204E"/>
    <w:rsid w:val="000E285A"/>
    <w:rsid w:val="00133803"/>
    <w:rsid w:val="001463B5"/>
    <w:rsid w:val="00153AA5"/>
    <w:rsid w:val="0015435E"/>
    <w:rsid w:val="00161BD5"/>
    <w:rsid w:val="0016351D"/>
    <w:rsid w:val="00176662"/>
    <w:rsid w:val="00195F07"/>
    <w:rsid w:val="00197600"/>
    <w:rsid w:val="001B6F09"/>
    <w:rsid w:val="001B7BB1"/>
    <w:rsid w:val="001C7BCB"/>
    <w:rsid w:val="001D2781"/>
    <w:rsid w:val="001E6268"/>
    <w:rsid w:val="001F3F77"/>
    <w:rsid w:val="001F7D28"/>
    <w:rsid w:val="002374D1"/>
    <w:rsid w:val="00241953"/>
    <w:rsid w:val="00243E83"/>
    <w:rsid w:val="00265A5E"/>
    <w:rsid w:val="00271C88"/>
    <w:rsid w:val="00272005"/>
    <w:rsid w:val="00275252"/>
    <w:rsid w:val="002A2359"/>
    <w:rsid w:val="002A5DEA"/>
    <w:rsid w:val="002B3348"/>
    <w:rsid w:val="002B4681"/>
    <w:rsid w:val="002C2200"/>
    <w:rsid w:val="002C5FE7"/>
    <w:rsid w:val="002D01AD"/>
    <w:rsid w:val="002D320A"/>
    <w:rsid w:val="003053E6"/>
    <w:rsid w:val="00317C69"/>
    <w:rsid w:val="003329EF"/>
    <w:rsid w:val="00345F95"/>
    <w:rsid w:val="0034684E"/>
    <w:rsid w:val="00346ED9"/>
    <w:rsid w:val="00347BAC"/>
    <w:rsid w:val="00356EE9"/>
    <w:rsid w:val="003712BE"/>
    <w:rsid w:val="00377544"/>
    <w:rsid w:val="00377C0D"/>
    <w:rsid w:val="00397CE6"/>
    <w:rsid w:val="003B6873"/>
    <w:rsid w:val="003B760D"/>
    <w:rsid w:val="003E673B"/>
    <w:rsid w:val="00404863"/>
    <w:rsid w:val="00404C4D"/>
    <w:rsid w:val="00412637"/>
    <w:rsid w:val="00415942"/>
    <w:rsid w:val="0042111D"/>
    <w:rsid w:val="00426C95"/>
    <w:rsid w:val="00490C32"/>
    <w:rsid w:val="004B0077"/>
    <w:rsid w:val="004B23FD"/>
    <w:rsid w:val="004C165B"/>
    <w:rsid w:val="004E708A"/>
    <w:rsid w:val="00506DFF"/>
    <w:rsid w:val="00511624"/>
    <w:rsid w:val="00521C7B"/>
    <w:rsid w:val="0052271B"/>
    <w:rsid w:val="00543D70"/>
    <w:rsid w:val="00550AB8"/>
    <w:rsid w:val="00555E60"/>
    <w:rsid w:val="00573121"/>
    <w:rsid w:val="005821C4"/>
    <w:rsid w:val="00582CAD"/>
    <w:rsid w:val="005A3C85"/>
    <w:rsid w:val="005B0283"/>
    <w:rsid w:val="005B2599"/>
    <w:rsid w:val="005B3863"/>
    <w:rsid w:val="005B4DEE"/>
    <w:rsid w:val="005B5B39"/>
    <w:rsid w:val="005D5E29"/>
    <w:rsid w:val="00600DEC"/>
    <w:rsid w:val="00602948"/>
    <w:rsid w:val="00620CCA"/>
    <w:rsid w:val="0063584D"/>
    <w:rsid w:val="0064541C"/>
    <w:rsid w:val="006552C2"/>
    <w:rsid w:val="0065707E"/>
    <w:rsid w:val="00695B02"/>
    <w:rsid w:val="006A2D0A"/>
    <w:rsid w:val="006A4111"/>
    <w:rsid w:val="006A4A18"/>
    <w:rsid w:val="006B667B"/>
    <w:rsid w:val="006C4B20"/>
    <w:rsid w:val="00701F98"/>
    <w:rsid w:val="00732BB7"/>
    <w:rsid w:val="00735A18"/>
    <w:rsid w:val="00747D22"/>
    <w:rsid w:val="007727DD"/>
    <w:rsid w:val="00787A78"/>
    <w:rsid w:val="007A3BED"/>
    <w:rsid w:val="007A3E54"/>
    <w:rsid w:val="007A4717"/>
    <w:rsid w:val="007B3F0B"/>
    <w:rsid w:val="007B70D4"/>
    <w:rsid w:val="007C06B6"/>
    <w:rsid w:val="007C37F8"/>
    <w:rsid w:val="007F375F"/>
    <w:rsid w:val="007F48B5"/>
    <w:rsid w:val="00815B18"/>
    <w:rsid w:val="00831FD9"/>
    <w:rsid w:val="008509C0"/>
    <w:rsid w:val="00855DFC"/>
    <w:rsid w:val="00856303"/>
    <w:rsid w:val="008A2351"/>
    <w:rsid w:val="008B2306"/>
    <w:rsid w:val="008B5DE3"/>
    <w:rsid w:val="008F0262"/>
    <w:rsid w:val="008F3962"/>
    <w:rsid w:val="00911BC7"/>
    <w:rsid w:val="0091253A"/>
    <w:rsid w:val="00914331"/>
    <w:rsid w:val="0098125B"/>
    <w:rsid w:val="00983D65"/>
    <w:rsid w:val="009931D8"/>
    <w:rsid w:val="009A0802"/>
    <w:rsid w:val="009A2359"/>
    <w:rsid w:val="009A46CD"/>
    <w:rsid w:val="009B2BDD"/>
    <w:rsid w:val="009C242D"/>
    <w:rsid w:val="009D0CA2"/>
    <w:rsid w:val="009D206B"/>
    <w:rsid w:val="009D2BD4"/>
    <w:rsid w:val="009E19C7"/>
    <w:rsid w:val="009F6ED8"/>
    <w:rsid w:val="00A02D1A"/>
    <w:rsid w:val="00A258AD"/>
    <w:rsid w:val="00A3599D"/>
    <w:rsid w:val="00A5388E"/>
    <w:rsid w:val="00A54D4A"/>
    <w:rsid w:val="00A70A5F"/>
    <w:rsid w:val="00A82E58"/>
    <w:rsid w:val="00AB7DE1"/>
    <w:rsid w:val="00AC29F8"/>
    <w:rsid w:val="00AC5998"/>
    <w:rsid w:val="00AD7826"/>
    <w:rsid w:val="00AE08A1"/>
    <w:rsid w:val="00AE3428"/>
    <w:rsid w:val="00AF4FFF"/>
    <w:rsid w:val="00AF6B2F"/>
    <w:rsid w:val="00B01A99"/>
    <w:rsid w:val="00B13F75"/>
    <w:rsid w:val="00B21A59"/>
    <w:rsid w:val="00B264AB"/>
    <w:rsid w:val="00B534C5"/>
    <w:rsid w:val="00B71171"/>
    <w:rsid w:val="00B83943"/>
    <w:rsid w:val="00B85A24"/>
    <w:rsid w:val="00B932ED"/>
    <w:rsid w:val="00BB03E2"/>
    <w:rsid w:val="00BB17B8"/>
    <w:rsid w:val="00BB3607"/>
    <w:rsid w:val="00BC378D"/>
    <w:rsid w:val="00BD48A3"/>
    <w:rsid w:val="00BF14AE"/>
    <w:rsid w:val="00BF4D83"/>
    <w:rsid w:val="00BF79AF"/>
    <w:rsid w:val="00C05173"/>
    <w:rsid w:val="00C14F78"/>
    <w:rsid w:val="00C22315"/>
    <w:rsid w:val="00C36EBE"/>
    <w:rsid w:val="00C45BEF"/>
    <w:rsid w:val="00C464D7"/>
    <w:rsid w:val="00C55A53"/>
    <w:rsid w:val="00C57B02"/>
    <w:rsid w:val="00C82E6A"/>
    <w:rsid w:val="00C974B6"/>
    <w:rsid w:val="00CA7048"/>
    <w:rsid w:val="00CF3272"/>
    <w:rsid w:val="00D05986"/>
    <w:rsid w:val="00D32941"/>
    <w:rsid w:val="00D40231"/>
    <w:rsid w:val="00D520AF"/>
    <w:rsid w:val="00D653F4"/>
    <w:rsid w:val="00DB3A28"/>
    <w:rsid w:val="00DC4551"/>
    <w:rsid w:val="00DF3B25"/>
    <w:rsid w:val="00E066C6"/>
    <w:rsid w:val="00E11095"/>
    <w:rsid w:val="00E14481"/>
    <w:rsid w:val="00E33248"/>
    <w:rsid w:val="00E34FA0"/>
    <w:rsid w:val="00E35AFB"/>
    <w:rsid w:val="00E4107D"/>
    <w:rsid w:val="00E416D6"/>
    <w:rsid w:val="00E43DFF"/>
    <w:rsid w:val="00E6102D"/>
    <w:rsid w:val="00E82D5F"/>
    <w:rsid w:val="00EB536C"/>
    <w:rsid w:val="00EC5B23"/>
    <w:rsid w:val="00ED7F96"/>
    <w:rsid w:val="00EF2C21"/>
    <w:rsid w:val="00F07A6D"/>
    <w:rsid w:val="00F34884"/>
    <w:rsid w:val="00F40C5A"/>
    <w:rsid w:val="00F43146"/>
    <w:rsid w:val="00F53223"/>
    <w:rsid w:val="00F7056D"/>
    <w:rsid w:val="00F72E1A"/>
    <w:rsid w:val="00F73761"/>
    <w:rsid w:val="00F74E1D"/>
    <w:rsid w:val="00F91484"/>
    <w:rsid w:val="00FC2E56"/>
    <w:rsid w:val="00FD36DB"/>
    <w:rsid w:val="00FE61D0"/>
    <w:rsid w:val="00FF7F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D737B56-B71F-48B2-9257-A4A671472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43DFF"/>
    <w:pPr>
      <w:ind w:left="720"/>
      <w:contextualSpacing/>
    </w:pPr>
  </w:style>
  <w:style w:type="paragraph" w:styleId="Textodeglobo">
    <w:name w:val="Balloon Text"/>
    <w:basedOn w:val="Normal"/>
    <w:link w:val="TextodegloboCar"/>
    <w:uiPriority w:val="99"/>
    <w:semiHidden/>
    <w:unhideWhenUsed/>
    <w:rsid w:val="00C45BE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45BEF"/>
    <w:rPr>
      <w:rFonts w:ascii="Segoe UI" w:hAnsi="Segoe UI" w:cs="Segoe UI"/>
      <w:sz w:val="18"/>
      <w:szCs w:val="18"/>
    </w:rPr>
  </w:style>
  <w:style w:type="paragraph" w:styleId="Encabezado">
    <w:name w:val="header"/>
    <w:basedOn w:val="Normal"/>
    <w:link w:val="EncabezadoCar"/>
    <w:uiPriority w:val="99"/>
    <w:unhideWhenUsed/>
    <w:rsid w:val="003712B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712BE"/>
  </w:style>
  <w:style w:type="paragraph" w:styleId="Piedepgina">
    <w:name w:val="footer"/>
    <w:basedOn w:val="Normal"/>
    <w:link w:val="PiedepginaCar"/>
    <w:uiPriority w:val="99"/>
    <w:unhideWhenUsed/>
    <w:rsid w:val="003712B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712BE"/>
  </w:style>
  <w:style w:type="paragraph" w:styleId="Sinespaciado">
    <w:name w:val="No Spacing"/>
    <w:uiPriority w:val="1"/>
    <w:qFormat/>
    <w:rsid w:val="00347BAC"/>
    <w:pPr>
      <w:spacing w:after="0" w:line="240" w:lineRule="auto"/>
    </w:pPr>
  </w:style>
  <w:style w:type="table" w:styleId="Tablaconcuadrcula">
    <w:name w:val="Table Grid"/>
    <w:basedOn w:val="Tablanormal"/>
    <w:uiPriority w:val="39"/>
    <w:rsid w:val="00C82E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4221">
      <w:bodyDiv w:val="1"/>
      <w:marLeft w:val="0"/>
      <w:marRight w:val="0"/>
      <w:marTop w:val="0"/>
      <w:marBottom w:val="0"/>
      <w:divBdr>
        <w:top w:val="none" w:sz="0" w:space="0" w:color="auto"/>
        <w:left w:val="none" w:sz="0" w:space="0" w:color="auto"/>
        <w:bottom w:val="none" w:sz="0" w:space="0" w:color="auto"/>
        <w:right w:val="none" w:sz="0" w:space="0" w:color="auto"/>
      </w:divBdr>
    </w:div>
    <w:div w:id="58863507">
      <w:bodyDiv w:val="1"/>
      <w:marLeft w:val="0"/>
      <w:marRight w:val="0"/>
      <w:marTop w:val="0"/>
      <w:marBottom w:val="0"/>
      <w:divBdr>
        <w:top w:val="none" w:sz="0" w:space="0" w:color="auto"/>
        <w:left w:val="none" w:sz="0" w:space="0" w:color="auto"/>
        <w:bottom w:val="none" w:sz="0" w:space="0" w:color="auto"/>
        <w:right w:val="none" w:sz="0" w:space="0" w:color="auto"/>
      </w:divBdr>
    </w:div>
    <w:div w:id="71661496">
      <w:bodyDiv w:val="1"/>
      <w:marLeft w:val="0"/>
      <w:marRight w:val="0"/>
      <w:marTop w:val="0"/>
      <w:marBottom w:val="0"/>
      <w:divBdr>
        <w:top w:val="none" w:sz="0" w:space="0" w:color="auto"/>
        <w:left w:val="none" w:sz="0" w:space="0" w:color="auto"/>
        <w:bottom w:val="none" w:sz="0" w:space="0" w:color="auto"/>
        <w:right w:val="none" w:sz="0" w:space="0" w:color="auto"/>
      </w:divBdr>
    </w:div>
    <w:div w:id="76560980">
      <w:bodyDiv w:val="1"/>
      <w:marLeft w:val="0"/>
      <w:marRight w:val="0"/>
      <w:marTop w:val="0"/>
      <w:marBottom w:val="0"/>
      <w:divBdr>
        <w:top w:val="none" w:sz="0" w:space="0" w:color="auto"/>
        <w:left w:val="none" w:sz="0" w:space="0" w:color="auto"/>
        <w:bottom w:val="none" w:sz="0" w:space="0" w:color="auto"/>
        <w:right w:val="none" w:sz="0" w:space="0" w:color="auto"/>
      </w:divBdr>
    </w:div>
    <w:div w:id="79569720">
      <w:bodyDiv w:val="1"/>
      <w:marLeft w:val="0"/>
      <w:marRight w:val="0"/>
      <w:marTop w:val="0"/>
      <w:marBottom w:val="0"/>
      <w:divBdr>
        <w:top w:val="none" w:sz="0" w:space="0" w:color="auto"/>
        <w:left w:val="none" w:sz="0" w:space="0" w:color="auto"/>
        <w:bottom w:val="none" w:sz="0" w:space="0" w:color="auto"/>
        <w:right w:val="none" w:sz="0" w:space="0" w:color="auto"/>
      </w:divBdr>
    </w:div>
    <w:div w:id="97603227">
      <w:bodyDiv w:val="1"/>
      <w:marLeft w:val="0"/>
      <w:marRight w:val="0"/>
      <w:marTop w:val="0"/>
      <w:marBottom w:val="0"/>
      <w:divBdr>
        <w:top w:val="none" w:sz="0" w:space="0" w:color="auto"/>
        <w:left w:val="none" w:sz="0" w:space="0" w:color="auto"/>
        <w:bottom w:val="none" w:sz="0" w:space="0" w:color="auto"/>
        <w:right w:val="none" w:sz="0" w:space="0" w:color="auto"/>
      </w:divBdr>
    </w:div>
    <w:div w:id="111635874">
      <w:bodyDiv w:val="1"/>
      <w:marLeft w:val="0"/>
      <w:marRight w:val="0"/>
      <w:marTop w:val="0"/>
      <w:marBottom w:val="0"/>
      <w:divBdr>
        <w:top w:val="none" w:sz="0" w:space="0" w:color="auto"/>
        <w:left w:val="none" w:sz="0" w:space="0" w:color="auto"/>
        <w:bottom w:val="none" w:sz="0" w:space="0" w:color="auto"/>
        <w:right w:val="none" w:sz="0" w:space="0" w:color="auto"/>
      </w:divBdr>
    </w:div>
    <w:div w:id="139273015">
      <w:bodyDiv w:val="1"/>
      <w:marLeft w:val="0"/>
      <w:marRight w:val="0"/>
      <w:marTop w:val="0"/>
      <w:marBottom w:val="0"/>
      <w:divBdr>
        <w:top w:val="none" w:sz="0" w:space="0" w:color="auto"/>
        <w:left w:val="none" w:sz="0" w:space="0" w:color="auto"/>
        <w:bottom w:val="none" w:sz="0" w:space="0" w:color="auto"/>
        <w:right w:val="none" w:sz="0" w:space="0" w:color="auto"/>
      </w:divBdr>
    </w:div>
    <w:div w:id="148638597">
      <w:bodyDiv w:val="1"/>
      <w:marLeft w:val="0"/>
      <w:marRight w:val="0"/>
      <w:marTop w:val="0"/>
      <w:marBottom w:val="0"/>
      <w:divBdr>
        <w:top w:val="none" w:sz="0" w:space="0" w:color="auto"/>
        <w:left w:val="none" w:sz="0" w:space="0" w:color="auto"/>
        <w:bottom w:val="none" w:sz="0" w:space="0" w:color="auto"/>
        <w:right w:val="none" w:sz="0" w:space="0" w:color="auto"/>
      </w:divBdr>
    </w:div>
    <w:div w:id="153952774">
      <w:bodyDiv w:val="1"/>
      <w:marLeft w:val="0"/>
      <w:marRight w:val="0"/>
      <w:marTop w:val="0"/>
      <w:marBottom w:val="0"/>
      <w:divBdr>
        <w:top w:val="none" w:sz="0" w:space="0" w:color="auto"/>
        <w:left w:val="none" w:sz="0" w:space="0" w:color="auto"/>
        <w:bottom w:val="none" w:sz="0" w:space="0" w:color="auto"/>
        <w:right w:val="none" w:sz="0" w:space="0" w:color="auto"/>
      </w:divBdr>
    </w:div>
    <w:div w:id="185407398">
      <w:bodyDiv w:val="1"/>
      <w:marLeft w:val="0"/>
      <w:marRight w:val="0"/>
      <w:marTop w:val="0"/>
      <w:marBottom w:val="0"/>
      <w:divBdr>
        <w:top w:val="none" w:sz="0" w:space="0" w:color="auto"/>
        <w:left w:val="none" w:sz="0" w:space="0" w:color="auto"/>
        <w:bottom w:val="none" w:sz="0" w:space="0" w:color="auto"/>
        <w:right w:val="none" w:sz="0" w:space="0" w:color="auto"/>
      </w:divBdr>
    </w:div>
    <w:div w:id="190193008">
      <w:bodyDiv w:val="1"/>
      <w:marLeft w:val="0"/>
      <w:marRight w:val="0"/>
      <w:marTop w:val="0"/>
      <w:marBottom w:val="0"/>
      <w:divBdr>
        <w:top w:val="none" w:sz="0" w:space="0" w:color="auto"/>
        <w:left w:val="none" w:sz="0" w:space="0" w:color="auto"/>
        <w:bottom w:val="none" w:sz="0" w:space="0" w:color="auto"/>
        <w:right w:val="none" w:sz="0" w:space="0" w:color="auto"/>
      </w:divBdr>
    </w:div>
    <w:div w:id="207038265">
      <w:bodyDiv w:val="1"/>
      <w:marLeft w:val="0"/>
      <w:marRight w:val="0"/>
      <w:marTop w:val="0"/>
      <w:marBottom w:val="0"/>
      <w:divBdr>
        <w:top w:val="none" w:sz="0" w:space="0" w:color="auto"/>
        <w:left w:val="none" w:sz="0" w:space="0" w:color="auto"/>
        <w:bottom w:val="none" w:sz="0" w:space="0" w:color="auto"/>
        <w:right w:val="none" w:sz="0" w:space="0" w:color="auto"/>
      </w:divBdr>
    </w:div>
    <w:div w:id="210652266">
      <w:bodyDiv w:val="1"/>
      <w:marLeft w:val="0"/>
      <w:marRight w:val="0"/>
      <w:marTop w:val="0"/>
      <w:marBottom w:val="0"/>
      <w:divBdr>
        <w:top w:val="none" w:sz="0" w:space="0" w:color="auto"/>
        <w:left w:val="none" w:sz="0" w:space="0" w:color="auto"/>
        <w:bottom w:val="none" w:sz="0" w:space="0" w:color="auto"/>
        <w:right w:val="none" w:sz="0" w:space="0" w:color="auto"/>
      </w:divBdr>
    </w:div>
    <w:div w:id="235938328">
      <w:bodyDiv w:val="1"/>
      <w:marLeft w:val="0"/>
      <w:marRight w:val="0"/>
      <w:marTop w:val="0"/>
      <w:marBottom w:val="0"/>
      <w:divBdr>
        <w:top w:val="none" w:sz="0" w:space="0" w:color="auto"/>
        <w:left w:val="none" w:sz="0" w:space="0" w:color="auto"/>
        <w:bottom w:val="none" w:sz="0" w:space="0" w:color="auto"/>
        <w:right w:val="none" w:sz="0" w:space="0" w:color="auto"/>
      </w:divBdr>
    </w:div>
    <w:div w:id="240221824">
      <w:bodyDiv w:val="1"/>
      <w:marLeft w:val="0"/>
      <w:marRight w:val="0"/>
      <w:marTop w:val="0"/>
      <w:marBottom w:val="0"/>
      <w:divBdr>
        <w:top w:val="none" w:sz="0" w:space="0" w:color="auto"/>
        <w:left w:val="none" w:sz="0" w:space="0" w:color="auto"/>
        <w:bottom w:val="none" w:sz="0" w:space="0" w:color="auto"/>
        <w:right w:val="none" w:sz="0" w:space="0" w:color="auto"/>
      </w:divBdr>
    </w:div>
    <w:div w:id="241456102">
      <w:bodyDiv w:val="1"/>
      <w:marLeft w:val="0"/>
      <w:marRight w:val="0"/>
      <w:marTop w:val="0"/>
      <w:marBottom w:val="0"/>
      <w:divBdr>
        <w:top w:val="none" w:sz="0" w:space="0" w:color="auto"/>
        <w:left w:val="none" w:sz="0" w:space="0" w:color="auto"/>
        <w:bottom w:val="none" w:sz="0" w:space="0" w:color="auto"/>
        <w:right w:val="none" w:sz="0" w:space="0" w:color="auto"/>
      </w:divBdr>
    </w:div>
    <w:div w:id="250510189">
      <w:bodyDiv w:val="1"/>
      <w:marLeft w:val="0"/>
      <w:marRight w:val="0"/>
      <w:marTop w:val="0"/>
      <w:marBottom w:val="0"/>
      <w:divBdr>
        <w:top w:val="none" w:sz="0" w:space="0" w:color="auto"/>
        <w:left w:val="none" w:sz="0" w:space="0" w:color="auto"/>
        <w:bottom w:val="none" w:sz="0" w:space="0" w:color="auto"/>
        <w:right w:val="none" w:sz="0" w:space="0" w:color="auto"/>
      </w:divBdr>
    </w:div>
    <w:div w:id="255331131">
      <w:bodyDiv w:val="1"/>
      <w:marLeft w:val="0"/>
      <w:marRight w:val="0"/>
      <w:marTop w:val="0"/>
      <w:marBottom w:val="0"/>
      <w:divBdr>
        <w:top w:val="none" w:sz="0" w:space="0" w:color="auto"/>
        <w:left w:val="none" w:sz="0" w:space="0" w:color="auto"/>
        <w:bottom w:val="none" w:sz="0" w:space="0" w:color="auto"/>
        <w:right w:val="none" w:sz="0" w:space="0" w:color="auto"/>
      </w:divBdr>
    </w:div>
    <w:div w:id="271211949">
      <w:bodyDiv w:val="1"/>
      <w:marLeft w:val="0"/>
      <w:marRight w:val="0"/>
      <w:marTop w:val="0"/>
      <w:marBottom w:val="0"/>
      <w:divBdr>
        <w:top w:val="none" w:sz="0" w:space="0" w:color="auto"/>
        <w:left w:val="none" w:sz="0" w:space="0" w:color="auto"/>
        <w:bottom w:val="none" w:sz="0" w:space="0" w:color="auto"/>
        <w:right w:val="none" w:sz="0" w:space="0" w:color="auto"/>
      </w:divBdr>
    </w:div>
    <w:div w:id="273025154">
      <w:bodyDiv w:val="1"/>
      <w:marLeft w:val="0"/>
      <w:marRight w:val="0"/>
      <w:marTop w:val="0"/>
      <w:marBottom w:val="0"/>
      <w:divBdr>
        <w:top w:val="none" w:sz="0" w:space="0" w:color="auto"/>
        <w:left w:val="none" w:sz="0" w:space="0" w:color="auto"/>
        <w:bottom w:val="none" w:sz="0" w:space="0" w:color="auto"/>
        <w:right w:val="none" w:sz="0" w:space="0" w:color="auto"/>
      </w:divBdr>
    </w:div>
    <w:div w:id="273053917">
      <w:bodyDiv w:val="1"/>
      <w:marLeft w:val="0"/>
      <w:marRight w:val="0"/>
      <w:marTop w:val="0"/>
      <w:marBottom w:val="0"/>
      <w:divBdr>
        <w:top w:val="none" w:sz="0" w:space="0" w:color="auto"/>
        <w:left w:val="none" w:sz="0" w:space="0" w:color="auto"/>
        <w:bottom w:val="none" w:sz="0" w:space="0" w:color="auto"/>
        <w:right w:val="none" w:sz="0" w:space="0" w:color="auto"/>
      </w:divBdr>
    </w:div>
    <w:div w:id="273943159">
      <w:bodyDiv w:val="1"/>
      <w:marLeft w:val="0"/>
      <w:marRight w:val="0"/>
      <w:marTop w:val="0"/>
      <w:marBottom w:val="0"/>
      <w:divBdr>
        <w:top w:val="none" w:sz="0" w:space="0" w:color="auto"/>
        <w:left w:val="none" w:sz="0" w:space="0" w:color="auto"/>
        <w:bottom w:val="none" w:sz="0" w:space="0" w:color="auto"/>
        <w:right w:val="none" w:sz="0" w:space="0" w:color="auto"/>
      </w:divBdr>
    </w:div>
    <w:div w:id="280845266">
      <w:bodyDiv w:val="1"/>
      <w:marLeft w:val="0"/>
      <w:marRight w:val="0"/>
      <w:marTop w:val="0"/>
      <w:marBottom w:val="0"/>
      <w:divBdr>
        <w:top w:val="none" w:sz="0" w:space="0" w:color="auto"/>
        <w:left w:val="none" w:sz="0" w:space="0" w:color="auto"/>
        <w:bottom w:val="none" w:sz="0" w:space="0" w:color="auto"/>
        <w:right w:val="none" w:sz="0" w:space="0" w:color="auto"/>
      </w:divBdr>
    </w:div>
    <w:div w:id="287052099">
      <w:bodyDiv w:val="1"/>
      <w:marLeft w:val="0"/>
      <w:marRight w:val="0"/>
      <w:marTop w:val="0"/>
      <w:marBottom w:val="0"/>
      <w:divBdr>
        <w:top w:val="none" w:sz="0" w:space="0" w:color="auto"/>
        <w:left w:val="none" w:sz="0" w:space="0" w:color="auto"/>
        <w:bottom w:val="none" w:sz="0" w:space="0" w:color="auto"/>
        <w:right w:val="none" w:sz="0" w:space="0" w:color="auto"/>
      </w:divBdr>
    </w:div>
    <w:div w:id="300769474">
      <w:bodyDiv w:val="1"/>
      <w:marLeft w:val="0"/>
      <w:marRight w:val="0"/>
      <w:marTop w:val="0"/>
      <w:marBottom w:val="0"/>
      <w:divBdr>
        <w:top w:val="none" w:sz="0" w:space="0" w:color="auto"/>
        <w:left w:val="none" w:sz="0" w:space="0" w:color="auto"/>
        <w:bottom w:val="none" w:sz="0" w:space="0" w:color="auto"/>
        <w:right w:val="none" w:sz="0" w:space="0" w:color="auto"/>
      </w:divBdr>
    </w:div>
    <w:div w:id="312880818">
      <w:bodyDiv w:val="1"/>
      <w:marLeft w:val="0"/>
      <w:marRight w:val="0"/>
      <w:marTop w:val="0"/>
      <w:marBottom w:val="0"/>
      <w:divBdr>
        <w:top w:val="none" w:sz="0" w:space="0" w:color="auto"/>
        <w:left w:val="none" w:sz="0" w:space="0" w:color="auto"/>
        <w:bottom w:val="none" w:sz="0" w:space="0" w:color="auto"/>
        <w:right w:val="none" w:sz="0" w:space="0" w:color="auto"/>
      </w:divBdr>
    </w:div>
    <w:div w:id="325399844">
      <w:bodyDiv w:val="1"/>
      <w:marLeft w:val="0"/>
      <w:marRight w:val="0"/>
      <w:marTop w:val="0"/>
      <w:marBottom w:val="0"/>
      <w:divBdr>
        <w:top w:val="none" w:sz="0" w:space="0" w:color="auto"/>
        <w:left w:val="none" w:sz="0" w:space="0" w:color="auto"/>
        <w:bottom w:val="none" w:sz="0" w:space="0" w:color="auto"/>
        <w:right w:val="none" w:sz="0" w:space="0" w:color="auto"/>
      </w:divBdr>
    </w:div>
    <w:div w:id="327948637">
      <w:bodyDiv w:val="1"/>
      <w:marLeft w:val="0"/>
      <w:marRight w:val="0"/>
      <w:marTop w:val="0"/>
      <w:marBottom w:val="0"/>
      <w:divBdr>
        <w:top w:val="none" w:sz="0" w:space="0" w:color="auto"/>
        <w:left w:val="none" w:sz="0" w:space="0" w:color="auto"/>
        <w:bottom w:val="none" w:sz="0" w:space="0" w:color="auto"/>
        <w:right w:val="none" w:sz="0" w:space="0" w:color="auto"/>
      </w:divBdr>
    </w:div>
    <w:div w:id="330065605">
      <w:bodyDiv w:val="1"/>
      <w:marLeft w:val="0"/>
      <w:marRight w:val="0"/>
      <w:marTop w:val="0"/>
      <w:marBottom w:val="0"/>
      <w:divBdr>
        <w:top w:val="none" w:sz="0" w:space="0" w:color="auto"/>
        <w:left w:val="none" w:sz="0" w:space="0" w:color="auto"/>
        <w:bottom w:val="none" w:sz="0" w:space="0" w:color="auto"/>
        <w:right w:val="none" w:sz="0" w:space="0" w:color="auto"/>
      </w:divBdr>
    </w:div>
    <w:div w:id="330303684">
      <w:bodyDiv w:val="1"/>
      <w:marLeft w:val="0"/>
      <w:marRight w:val="0"/>
      <w:marTop w:val="0"/>
      <w:marBottom w:val="0"/>
      <w:divBdr>
        <w:top w:val="none" w:sz="0" w:space="0" w:color="auto"/>
        <w:left w:val="none" w:sz="0" w:space="0" w:color="auto"/>
        <w:bottom w:val="none" w:sz="0" w:space="0" w:color="auto"/>
        <w:right w:val="none" w:sz="0" w:space="0" w:color="auto"/>
      </w:divBdr>
    </w:div>
    <w:div w:id="344332984">
      <w:bodyDiv w:val="1"/>
      <w:marLeft w:val="0"/>
      <w:marRight w:val="0"/>
      <w:marTop w:val="0"/>
      <w:marBottom w:val="0"/>
      <w:divBdr>
        <w:top w:val="none" w:sz="0" w:space="0" w:color="auto"/>
        <w:left w:val="none" w:sz="0" w:space="0" w:color="auto"/>
        <w:bottom w:val="none" w:sz="0" w:space="0" w:color="auto"/>
        <w:right w:val="none" w:sz="0" w:space="0" w:color="auto"/>
      </w:divBdr>
    </w:div>
    <w:div w:id="355816962">
      <w:bodyDiv w:val="1"/>
      <w:marLeft w:val="0"/>
      <w:marRight w:val="0"/>
      <w:marTop w:val="0"/>
      <w:marBottom w:val="0"/>
      <w:divBdr>
        <w:top w:val="none" w:sz="0" w:space="0" w:color="auto"/>
        <w:left w:val="none" w:sz="0" w:space="0" w:color="auto"/>
        <w:bottom w:val="none" w:sz="0" w:space="0" w:color="auto"/>
        <w:right w:val="none" w:sz="0" w:space="0" w:color="auto"/>
      </w:divBdr>
    </w:div>
    <w:div w:id="386730910">
      <w:bodyDiv w:val="1"/>
      <w:marLeft w:val="0"/>
      <w:marRight w:val="0"/>
      <w:marTop w:val="0"/>
      <w:marBottom w:val="0"/>
      <w:divBdr>
        <w:top w:val="none" w:sz="0" w:space="0" w:color="auto"/>
        <w:left w:val="none" w:sz="0" w:space="0" w:color="auto"/>
        <w:bottom w:val="none" w:sz="0" w:space="0" w:color="auto"/>
        <w:right w:val="none" w:sz="0" w:space="0" w:color="auto"/>
      </w:divBdr>
    </w:div>
    <w:div w:id="395277059">
      <w:bodyDiv w:val="1"/>
      <w:marLeft w:val="0"/>
      <w:marRight w:val="0"/>
      <w:marTop w:val="0"/>
      <w:marBottom w:val="0"/>
      <w:divBdr>
        <w:top w:val="none" w:sz="0" w:space="0" w:color="auto"/>
        <w:left w:val="none" w:sz="0" w:space="0" w:color="auto"/>
        <w:bottom w:val="none" w:sz="0" w:space="0" w:color="auto"/>
        <w:right w:val="none" w:sz="0" w:space="0" w:color="auto"/>
      </w:divBdr>
    </w:div>
    <w:div w:id="396901523">
      <w:bodyDiv w:val="1"/>
      <w:marLeft w:val="0"/>
      <w:marRight w:val="0"/>
      <w:marTop w:val="0"/>
      <w:marBottom w:val="0"/>
      <w:divBdr>
        <w:top w:val="none" w:sz="0" w:space="0" w:color="auto"/>
        <w:left w:val="none" w:sz="0" w:space="0" w:color="auto"/>
        <w:bottom w:val="none" w:sz="0" w:space="0" w:color="auto"/>
        <w:right w:val="none" w:sz="0" w:space="0" w:color="auto"/>
      </w:divBdr>
    </w:div>
    <w:div w:id="406730354">
      <w:bodyDiv w:val="1"/>
      <w:marLeft w:val="0"/>
      <w:marRight w:val="0"/>
      <w:marTop w:val="0"/>
      <w:marBottom w:val="0"/>
      <w:divBdr>
        <w:top w:val="none" w:sz="0" w:space="0" w:color="auto"/>
        <w:left w:val="none" w:sz="0" w:space="0" w:color="auto"/>
        <w:bottom w:val="none" w:sz="0" w:space="0" w:color="auto"/>
        <w:right w:val="none" w:sz="0" w:space="0" w:color="auto"/>
      </w:divBdr>
    </w:div>
    <w:div w:id="426660825">
      <w:bodyDiv w:val="1"/>
      <w:marLeft w:val="0"/>
      <w:marRight w:val="0"/>
      <w:marTop w:val="0"/>
      <w:marBottom w:val="0"/>
      <w:divBdr>
        <w:top w:val="none" w:sz="0" w:space="0" w:color="auto"/>
        <w:left w:val="none" w:sz="0" w:space="0" w:color="auto"/>
        <w:bottom w:val="none" w:sz="0" w:space="0" w:color="auto"/>
        <w:right w:val="none" w:sz="0" w:space="0" w:color="auto"/>
      </w:divBdr>
    </w:div>
    <w:div w:id="450906064">
      <w:bodyDiv w:val="1"/>
      <w:marLeft w:val="0"/>
      <w:marRight w:val="0"/>
      <w:marTop w:val="0"/>
      <w:marBottom w:val="0"/>
      <w:divBdr>
        <w:top w:val="none" w:sz="0" w:space="0" w:color="auto"/>
        <w:left w:val="none" w:sz="0" w:space="0" w:color="auto"/>
        <w:bottom w:val="none" w:sz="0" w:space="0" w:color="auto"/>
        <w:right w:val="none" w:sz="0" w:space="0" w:color="auto"/>
      </w:divBdr>
    </w:div>
    <w:div w:id="456947137">
      <w:bodyDiv w:val="1"/>
      <w:marLeft w:val="0"/>
      <w:marRight w:val="0"/>
      <w:marTop w:val="0"/>
      <w:marBottom w:val="0"/>
      <w:divBdr>
        <w:top w:val="none" w:sz="0" w:space="0" w:color="auto"/>
        <w:left w:val="none" w:sz="0" w:space="0" w:color="auto"/>
        <w:bottom w:val="none" w:sz="0" w:space="0" w:color="auto"/>
        <w:right w:val="none" w:sz="0" w:space="0" w:color="auto"/>
      </w:divBdr>
    </w:div>
    <w:div w:id="480077236">
      <w:bodyDiv w:val="1"/>
      <w:marLeft w:val="0"/>
      <w:marRight w:val="0"/>
      <w:marTop w:val="0"/>
      <w:marBottom w:val="0"/>
      <w:divBdr>
        <w:top w:val="none" w:sz="0" w:space="0" w:color="auto"/>
        <w:left w:val="none" w:sz="0" w:space="0" w:color="auto"/>
        <w:bottom w:val="none" w:sz="0" w:space="0" w:color="auto"/>
        <w:right w:val="none" w:sz="0" w:space="0" w:color="auto"/>
      </w:divBdr>
    </w:div>
    <w:div w:id="485366437">
      <w:bodyDiv w:val="1"/>
      <w:marLeft w:val="0"/>
      <w:marRight w:val="0"/>
      <w:marTop w:val="0"/>
      <w:marBottom w:val="0"/>
      <w:divBdr>
        <w:top w:val="none" w:sz="0" w:space="0" w:color="auto"/>
        <w:left w:val="none" w:sz="0" w:space="0" w:color="auto"/>
        <w:bottom w:val="none" w:sz="0" w:space="0" w:color="auto"/>
        <w:right w:val="none" w:sz="0" w:space="0" w:color="auto"/>
      </w:divBdr>
    </w:div>
    <w:div w:id="485781121">
      <w:bodyDiv w:val="1"/>
      <w:marLeft w:val="0"/>
      <w:marRight w:val="0"/>
      <w:marTop w:val="0"/>
      <w:marBottom w:val="0"/>
      <w:divBdr>
        <w:top w:val="none" w:sz="0" w:space="0" w:color="auto"/>
        <w:left w:val="none" w:sz="0" w:space="0" w:color="auto"/>
        <w:bottom w:val="none" w:sz="0" w:space="0" w:color="auto"/>
        <w:right w:val="none" w:sz="0" w:space="0" w:color="auto"/>
      </w:divBdr>
    </w:div>
    <w:div w:id="506363363">
      <w:bodyDiv w:val="1"/>
      <w:marLeft w:val="0"/>
      <w:marRight w:val="0"/>
      <w:marTop w:val="0"/>
      <w:marBottom w:val="0"/>
      <w:divBdr>
        <w:top w:val="none" w:sz="0" w:space="0" w:color="auto"/>
        <w:left w:val="none" w:sz="0" w:space="0" w:color="auto"/>
        <w:bottom w:val="none" w:sz="0" w:space="0" w:color="auto"/>
        <w:right w:val="none" w:sz="0" w:space="0" w:color="auto"/>
      </w:divBdr>
    </w:div>
    <w:div w:id="512765016">
      <w:bodyDiv w:val="1"/>
      <w:marLeft w:val="0"/>
      <w:marRight w:val="0"/>
      <w:marTop w:val="0"/>
      <w:marBottom w:val="0"/>
      <w:divBdr>
        <w:top w:val="none" w:sz="0" w:space="0" w:color="auto"/>
        <w:left w:val="none" w:sz="0" w:space="0" w:color="auto"/>
        <w:bottom w:val="none" w:sz="0" w:space="0" w:color="auto"/>
        <w:right w:val="none" w:sz="0" w:space="0" w:color="auto"/>
      </w:divBdr>
    </w:div>
    <w:div w:id="513228760">
      <w:bodyDiv w:val="1"/>
      <w:marLeft w:val="0"/>
      <w:marRight w:val="0"/>
      <w:marTop w:val="0"/>
      <w:marBottom w:val="0"/>
      <w:divBdr>
        <w:top w:val="none" w:sz="0" w:space="0" w:color="auto"/>
        <w:left w:val="none" w:sz="0" w:space="0" w:color="auto"/>
        <w:bottom w:val="none" w:sz="0" w:space="0" w:color="auto"/>
        <w:right w:val="none" w:sz="0" w:space="0" w:color="auto"/>
      </w:divBdr>
    </w:div>
    <w:div w:id="534584935">
      <w:bodyDiv w:val="1"/>
      <w:marLeft w:val="0"/>
      <w:marRight w:val="0"/>
      <w:marTop w:val="0"/>
      <w:marBottom w:val="0"/>
      <w:divBdr>
        <w:top w:val="none" w:sz="0" w:space="0" w:color="auto"/>
        <w:left w:val="none" w:sz="0" w:space="0" w:color="auto"/>
        <w:bottom w:val="none" w:sz="0" w:space="0" w:color="auto"/>
        <w:right w:val="none" w:sz="0" w:space="0" w:color="auto"/>
      </w:divBdr>
    </w:div>
    <w:div w:id="538008323">
      <w:bodyDiv w:val="1"/>
      <w:marLeft w:val="0"/>
      <w:marRight w:val="0"/>
      <w:marTop w:val="0"/>
      <w:marBottom w:val="0"/>
      <w:divBdr>
        <w:top w:val="none" w:sz="0" w:space="0" w:color="auto"/>
        <w:left w:val="none" w:sz="0" w:space="0" w:color="auto"/>
        <w:bottom w:val="none" w:sz="0" w:space="0" w:color="auto"/>
        <w:right w:val="none" w:sz="0" w:space="0" w:color="auto"/>
      </w:divBdr>
    </w:div>
    <w:div w:id="552817678">
      <w:bodyDiv w:val="1"/>
      <w:marLeft w:val="0"/>
      <w:marRight w:val="0"/>
      <w:marTop w:val="0"/>
      <w:marBottom w:val="0"/>
      <w:divBdr>
        <w:top w:val="none" w:sz="0" w:space="0" w:color="auto"/>
        <w:left w:val="none" w:sz="0" w:space="0" w:color="auto"/>
        <w:bottom w:val="none" w:sz="0" w:space="0" w:color="auto"/>
        <w:right w:val="none" w:sz="0" w:space="0" w:color="auto"/>
      </w:divBdr>
    </w:div>
    <w:div w:id="563687004">
      <w:bodyDiv w:val="1"/>
      <w:marLeft w:val="0"/>
      <w:marRight w:val="0"/>
      <w:marTop w:val="0"/>
      <w:marBottom w:val="0"/>
      <w:divBdr>
        <w:top w:val="none" w:sz="0" w:space="0" w:color="auto"/>
        <w:left w:val="none" w:sz="0" w:space="0" w:color="auto"/>
        <w:bottom w:val="none" w:sz="0" w:space="0" w:color="auto"/>
        <w:right w:val="none" w:sz="0" w:space="0" w:color="auto"/>
      </w:divBdr>
    </w:div>
    <w:div w:id="591863740">
      <w:bodyDiv w:val="1"/>
      <w:marLeft w:val="0"/>
      <w:marRight w:val="0"/>
      <w:marTop w:val="0"/>
      <w:marBottom w:val="0"/>
      <w:divBdr>
        <w:top w:val="none" w:sz="0" w:space="0" w:color="auto"/>
        <w:left w:val="none" w:sz="0" w:space="0" w:color="auto"/>
        <w:bottom w:val="none" w:sz="0" w:space="0" w:color="auto"/>
        <w:right w:val="none" w:sz="0" w:space="0" w:color="auto"/>
      </w:divBdr>
    </w:div>
    <w:div w:id="606811928">
      <w:bodyDiv w:val="1"/>
      <w:marLeft w:val="0"/>
      <w:marRight w:val="0"/>
      <w:marTop w:val="0"/>
      <w:marBottom w:val="0"/>
      <w:divBdr>
        <w:top w:val="none" w:sz="0" w:space="0" w:color="auto"/>
        <w:left w:val="none" w:sz="0" w:space="0" w:color="auto"/>
        <w:bottom w:val="none" w:sz="0" w:space="0" w:color="auto"/>
        <w:right w:val="none" w:sz="0" w:space="0" w:color="auto"/>
      </w:divBdr>
    </w:div>
    <w:div w:id="614143522">
      <w:bodyDiv w:val="1"/>
      <w:marLeft w:val="0"/>
      <w:marRight w:val="0"/>
      <w:marTop w:val="0"/>
      <w:marBottom w:val="0"/>
      <w:divBdr>
        <w:top w:val="none" w:sz="0" w:space="0" w:color="auto"/>
        <w:left w:val="none" w:sz="0" w:space="0" w:color="auto"/>
        <w:bottom w:val="none" w:sz="0" w:space="0" w:color="auto"/>
        <w:right w:val="none" w:sz="0" w:space="0" w:color="auto"/>
      </w:divBdr>
    </w:div>
    <w:div w:id="615715955">
      <w:bodyDiv w:val="1"/>
      <w:marLeft w:val="0"/>
      <w:marRight w:val="0"/>
      <w:marTop w:val="0"/>
      <w:marBottom w:val="0"/>
      <w:divBdr>
        <w:top w:val="none" w:sz="0" w:space="0" w:color="auto"/>
        <w:left w:val="none" w:sz="0" w:space="0" w:color="auto"/>
        <w:bottom w:val="none" w:sz="0" w:space="0" w:color="auto"/>
        <w:right w:val="none" w:sz="0" w:space="0" w:color="auto"/>
      </w:divBdr>
    </w:div>
    <w:div w:id="617952649">
      <w:bodyDiv w:val="1"/>
      <w:marLeft w:val="0"/>
      <w:marRight w:val="0"/>
      <w:marTop w:val="0"/>
      <w:marBottom w:val="0"/>
      <w:divBdr>
        <w:top w:val="none" w:sz="0" w:space="0" w:color="auto"/>
        <w:left w:val="none" w:sz="0" w:space="0" w:color="auto"/>
        <w:bottom w:val="none" w:sz="0" w:space="0" w:color="auto"/>
        <w:right w:val="none" w:sz="0" w:space="0" w:color="auto"/>
      </w:divBdr>
    </w:div>
    <w:div w:id="631208506">
      <w:bodyDiv w:val="1"/>
      <w:marLeft w:val="0"/>
      <w:marRight w:val="0"/>
      <w:marTop w:val="0"/>
      <w:marBottom w:val="0"/>
      <w:divBdr>
        <w:top w:val="none" w:sz="0" w:space="0" w:color="auto"/>
        <w:left w:val="none" w:sz="0" w:space="0" w:color="auto"/>
        <w:bottom w:val="none" w:sz="0" w:space="0" w:color="auto"/>
        <w:right w:val="none" w:sz="0" w:space="0" w:color="auto"/>
      </w:divBdr>
    </w:div>
    <w:div w:id="647435748">
      <w:bodyDiv w:val="1"/>
      <w:marLeft w:val="0"/>
      <w:marRight w:val="0"/>
      <w:marTop w:val="0"/>
      <w:marBottom w:val="0"/>
      <w:divBdr>
        <w:top w:val="none" w:sz="0" w:space="0" w:color="auto"/>
        <w:left w:val="none" w:sz="0" w:space="0" w:color="auto"/>
        <w:bottom w:val="none" w:sz="0" w:space="0" w:color="auto"/>
        <w:right w:val="none" w:sz="0" w:space="0" w:color="auto"/>
      </w:divBdr>
    </w:div>
    <w:div w:id="651449891">
      <w:bodyDiv w:val="1"/>
      <w:marLeft w:val="0"/>
      <w:marRight w:val="0"/>
      <w:marTop w:val="0"/>
      <w:marBottom w:val="0"/>
      <w:divBdr>
        <w:top w:val="none" w:sz="0" w:space="0" w:color="auto"/>
        <w:left w:val="none" w:sz="0" w:space="0" w:color="auto"/>
        <w:bottom w:val="none" w:sz="0" w:space="0" w:color="auto"/>
        <w:right w:val="none" w:sz="0" w:space="0" w:color="auto"/>
      </w:divBdr>
    </w:div>
    <w:div w:id="695690877">
      <w:bodyDiv w:val="1"/>
      <w:marLeft w:val="0"/>
      <w:marRight w:val="0"/>
      <w:marTop w:val="0"/>
      <w:marBottom w:val="0"/>
      <w:divBdr>
        <w:top w:val="none" w:sz="0" w:space="0" w:color="auto"/>
        <w:left w:val="none" w:sz="0" w:space="0" w:color="auto"/>
        <w:bottom w:val="none" w:sz="0" w:space="0" w:color="auto"/>
        <w:right w:val="none" w:sz="0" w:space="0" w:color="auto"/>
      </w:divBdr>
    </w:div>
    <w:div w:id="724062331">
      <w:bodyDiv w:val="1"/>
      <w:marLeft w:val="0"/>
      <w:marRight w:val="0"/>
      <w:marTop w:val="0"/>
      <w:marBottom w:val="0"/>
      <w:divBdr>
        <w:top w:val="none" w:sz="0" w:space="0" w:color="auto"/>
        <w:left w:val="none" w:sz="0" w:space="0" w:color="auto"/>
        <w:bottom w:val="none" w:sz="0" w:space="0" w:color="auto"/>
        <w:right w:val="none" w:sz="0" w:space="0" w:color="auto"/>
      </w:divBdr>
    </w:div>
    <w:div w:id="739862737">
      <w:bodyDiv w:val="1"/>
      <w:marLeft w:val="0"/>
      <w:marRight w:val="0"/>
      <w:marTop w:val="0"/>
      <w:marBottom w:val="0"/>
      <w:divBdr>
        <w:top w:val="none" w:sz="0" w:space="0" w:color="auto"/>
        <w:left w:val="none" w:sz="0" w:space="0" w:color="auto"/>
        <w:bottom w:val="none" w:sz="0" w:space="0" w:color="auto"/>
        <w:right w:val="none" w:sz="0" w:space="0" w:color="auto"/>
      </w:divBdr>
    </w:div>
    <w:div w:id="746611000">
      <w:bodyDiv w:val="1"/>
      <w:marLeft w:val="0"/>
      <w:marRight w:val="0"/>
      <w:marTop w:val="0"/>
      <w:marBottom w:val="0"/>
      <w:divBdr>
        <w:top w:val="none" w:sz="0" w:space="0" w:color="auto"/>
        <w:left w:val="none" w:sz="0" w:space="0" w:color="auto"/>
        <w:bottom w:val="none" w:sz="0" w:space="0" w:color="auto"/>
        <w:right w:val="none" w:sz="0" w:space="0" w:color="auto"/>
      </w:divBdr>
    </w:div>
    <w:div w:id="752119897">
      <w:bodyDiv w:val="1"/>
      <w:marLeft w:val="0"/>
      <w:marRight w:val="0"/>
      <w:marTop w:val="0"/>
      <w:marBottom w:val="0"/>
      <w:divBdr>
        <w:top w:val="none" w:sz="0" w:space="0" w:color="auto"/>
        <w:left w:val="none" w:sz="0" w:space="0" w:color="auto"/>
        <w:bottom w:val="none" w:sz="0" w:space="0" w:color="auto"/>
        <w:right w:val="none" w:sz="0" w:space="0" w:color="auto"/>
      </w:divBdr>
    </w:div>
    <w:div w:id="773399896">
      <w:bodyDiv w:val="1"/>
      <w:marLeft w:val="0"/>
      <w:marRight w:val="0"/>
      <w:marTop w:val="0"/>
      <w:marBottom w:val="0"/>
      <w:divBdr>
        <w:top w:val="none" w:sz="0" w:space="0" w:color="auto"/>
        <w:left w:val="none" w:sz="0" w:space="0" w:color="auto"/>
        <w:bottom w:val="none" w:sz="0" w:space="0" w:color="auto"/>
        <w:right w:val="none" w:sz="0" w:space="0" w:color="auto"/>
      </w:divBdr>
    </w:div>
    <w:div w:id="798381639">
      <w:bodyDiv w:val="1"/>
      <w:marLeft w:val="0"/>
      <w:marRight w:val="0"/>
      <w:marTop w:val="0"/>
      <w:marBottom w:val="0"/>
      <w:divBdr>
        <w:top w:val="none" w:sz="0" w:space="0" w:color="auto"/>
        <w:left w:val="none" w:sz="0" w:space="0" w:color="auto"/>
        <w:bottom w:val="none" w:sz="0" w:space="0" w:color="auto"/>
        <w:right w:val="none" w:sz="0" w:space="0" w:color="auto"/>
      </w:divBdr>
    </w:div>
    <w:div w:id="817959042">
      <w:bodyDiv w:val="1"/>
      <w:marLeft w:val="0"/>
      <w:marRight w:val="0"/>
      <w:marTop w:val="0"/>
      <w:marBottom w:val="0"/>
      <w:divBdr>
        <w:top w:val="none" w:sz="0" w:space="0" w:color="auto"/>
        <w:left w:val="none" w:sz="0" w:space="0" w:color="auto"/>
        <w:bottom w:val="none" w:sz="0" w:space="0" w:color="auto"/>
        <w:right w:val="none" w:sz="0" w:space="0" w:color="auto"/>
      </w:divBdr>
    </w:div>
    <w:div w:id="827405220">
      <w:bodyDiv w:val="1"/>
      <w:marLeft w:val="0"/>
      <w:marRight w:val="0"/>
      <w:marTop w:val="0"/>
      <w:marBottom w:val="0"/>
      <w:divBdr>
        <w:top w:val="none" w:sz="0" w:space="0" w:color="auto"/>
        <w:left w:val="none" w:sz="0" w:space="0" w:color="auto"/>
        <w:bottom w:val="none" w:sz="0" w:space="0" w:color="auto"/>
        <w:right w:val="none" w:sz="0" w:space="0" w:color="auto"/>
      </w:divBdr>
    </w:div>
    <w:div w:id="827475733">
      <w:bodyDiv w:val="1"/>
      <w:marLeft w:val="0"/>
      <w:marRight w:val="0"/>
      <w:marTop w:val="0"/>
      <w:marBottom w:val="0"/>
      <w:divBdr>
        <w:top w:val="none" w:sz="0" w:space="0" w:color="auto"/>
        <w:left w:val="none" w:sz="0" w:space="0" w:color="auto"/>
        <w:bottom w:val="none" w:sz="0" w:space="0" w:color="auto"/>
        <w:right w:val="none" w:sz="0" w:space="0" w:color="auto"/>
      </w:divBdr>
    </w:div>
    <w:div w:id="836920105">
      <w:bodyDiv w:val="1"/>
      <w:marLeft w:val="0"/>
      <w:marRight w:val="0"/>
      <w:marTop w:val="0"/>
      <w:marBottom w:val="0"/>
      <w:divBdr>
        <w:top w:val="none" w:sz="0" w:space="0" w:color="auto"/>
        <w:left w:val="none" w:sz="0" w:space="0" w:color="auto"/>
        <w:bottom w:val="none" w:sz="0" w:space="0" w:color="auto"/>
        <w:right w:val="none" w:sz="0" w:space="0" w:color="auto"/>
      </w:divBdr>
    </w:div>
    <w:div w:id="839153444">
      <w:bodyDiv w:val="1"/>
      <w:marLeft w:val="0"/>
      <w:marRight w:val="0"/>
      <w:marTop w:val="0"/>
      <w:marBottom w:val="0"/>
      <w:divBdr>
        <w:top w:val="none" w:sz="0" w:space="0" w:color="auto"/>
        <w:left w:val="none" w:sz="0" w:space="0" w:color="auto"/>
        <w:bottom w:val="none" w:sz="0" w:space="0" w:color="auto"/>
        <w:right w:val="none" w:sz="0" w:space="0" w:color="auto"/>
      </w:divBdr>
    </w:div>
    <w:div w:id="844982236">
      <w:bodyDiv w:val="1"/>
      <w:marLeft w:val="0"/>
      <w:marRight w:val="0"/>
      <w:marTop w:val="0"/>
      <w:marBottom w:val="0"/>
      <w:divBdr>
        <w:top w:val="none" w:sz="0" w:space="0" w:color="auto"/>
        <w:left w:val="none" w:sz="0" w:space="0" w:color="auto"/>
        <w:bottom w:val="none" w:sz="0" w:space="0" w:color="auto"/>
        <w:right w:val="none" w:sz="0" w:space="0" w:color="auto"/>
      </w:divBdr>
    </w:div>
    <w:div w:id="847519821">
      <w:bodyDiv w:val="1"/>
      <w:marLeft w:val="0"/>
      <w:marRight w:val="0"/>
      <w:marTop w:val="0"/>
      <w:marBottom w:val="0"/>
      <w:divBdr>
        <w:top w:val="none" w:sz="0" w:space="0" w:color="auto"/>
        <w:left w:val="none" w:sz="0" w:space="0" w:color="auto"/>
        <w:bottom w:val="none" w:sz="0" w:space="0" w:color="auto"/>
        <w:right w:val="none" w:sz="0" w:space="0" w:color="auto"/>
      </w:divBdr>
    </w:div>
    <w:div w:id="848837568">
      <w:bodyDiv w:val="1"/>
      <w:marLeft w:val="0"/>
      <w:marRight w:val="0"/>
      <w:marTop w:val="0"/>
      <w:marBottom w:val="0"/>
      <w:divBdr>
        <w:top w:val="none" w:sz="0" w:space="0" w:color="auto"/>
        <w:left w:val="none" w:sz="0" w:space="0" w:color="auto"/>
        <w:bottom w:val="none" w:sz="0" w:space="0" w:color="auto"/>
        <w:right w:val="none" w:sz="0" w:space="0" w:color="auto"/>
      </w:divBdr>
    </w:div>
    <w:div w:id="852458214">
      <w:bodyDiv w:val="1"/>
      <w:marLeft w:val="0"/>
      <w:marRight w:val="0"/>
      <w:marTop w:val="0"/>
      <w:marBottom w:val="0"/>
      <w:divBdr>
        <w:top w:val="none" w:sz="0" w:space="0" w:color="auto"/>
        <w:left w:val="none" w:sz="0" w:space="0" w:color="auto"/>
        <w:bottom w:val="none" w:sz="0" w:space="0" w:color="auto"/>
        <w:right w:val="none" w:sz="0" w:space="0" w:color="auto"/>
      </w:divBdr>
    </w:div>
    <w:div w:id="877593201">
      <w:bodyDiv w:val="1"/>
      <w:marLeft w:val="0"/>
      <w:marRight w:val="0"/>
      <w:marTop w:val="0"/>
      <w:marBottom w:val="0"/>
      <w:divBdr>
        <w:top w:val="none" w:sz="0" w:space="0" w:color="auto"/>
        <w:left w:val="none" w:sz="0" w:space="0" w:color="auto"/>
        <w:bottom w:val="none" w:sz="0" w:space="0" w:color="auto"/>
        <w:right w:val="none" w:sz="0" w:space="0" w:color="auto"/>
      </w:divBdr>
    </w:div>
    <w:div w:id="880750323">
      <w:bodyDiv w:val="1"/>
      <w:marLeft w:val="0"/>
      <w:marRight w:val="0"/>
      <w:marTop w:val="0"/>
      <w:marBottom w:val="0"/>
      <w:divBdr>
        <w:top w:val="none" w:sz="0" w:space="0" w:color="auto"/>
        <w:left w:val="none" w:sz="0" w:space="0" w:color="auto"/>
        <w:bottom w:val="none" w:sz="0" w:space="0" w:color="auto"/>
        <w:right w:val="none" w:sz="0" w:space="0" w:color="auto"/>
      </w:divBdr>
    </w:div>
    <w:div w:id="909189870">
      <w:bodyDiv w:val="1"/>
      <w:marLeft w:val="0"/>
      <w:marRight w:val="0"/>
      <w:marTop w:val="0"/>
      <w:marBottom w:val="0"/>
      <w:divBdr>
        <w:top w:val="none" w:sz="0" w:space="0" w:color="auto"/>
        <w:left w:val="none" w:sz="0" w:space="0" w:color="auto"/>
        <w:bottom w:val="none" w:sz="0" w:space="0" w:color="auto"/>
        <w:right w:val="none" w:sz="0" w:space="0" w:color="auto"/>
      </w:divBdr>
    </w:div>
    <w:div w:id="909315202">
      <w:bodyDiv w:val="1"/>
      <w:marLeft w:val="0"/>
      <w:marRight w:val="0"/>
      <w:marTop w:val="0"/>
      <w:marBottom w:val="0"/>
      <w:divBdr>
        <w:top w:val="none" w:sz="0" w:space="0" w:color="auto"/>
        <w:left w:val="none" w:sz="0" w:space="0" w:color="auto"/>
        <w:bottom w:val="none" w:sz="0" w:space="0" w:color="auto"/>
        <w:right w:val="none" w:sz="0" w:space="0" w:color="auto"/>
      </w:divBdr>
    </w:div>
    <w:div w:id="936718926">
      <w:bodyDiv w:val="1"/>
      <w:marLeft w:val="0"/>
      <w:marRight w:val="0"/>
      <w:marTop w:val="0"/>
      <w:marBottom w:val="0"/>
      <w:divBdr>
        <w:top w:val="none" w:sz="0" w:space="0" w:color="auto"/>
        <w:left w:val="none" w:sz="0" w:space="0" w:color="auto"/>
        <w:bottom w:val="none" w:sz="0" w:space="0" w:color="auto"/>
        <w:right w:val="none" w:sz="0" w:space="0" w:color="auto"/>
      </w:divBdr>
    </w:div>
    <w:div w:id="943345278">
      <w:bodyDiv w:val="1"/>
      <w:marLeft w:val="0"/>
      <w:marRight w:val="0"/>
      <w:marTop w:val="0"/>
      <w:marBottom w:val="0"/>
      <w:divBdr>
        <w:top w:val="none" w:sz="0" w:space="0" w:color="auto"/>
        <w:left w:val="none" w:sz="0" w:space="0" w:color="auto"/>
        <w:bottom w:val="none" w:sz="0" w:space="0" w:color="auto"/>
        <w:right w:val="none" w:sz="0" w:space="0" w:color="auto"/>
      </w:divBdr>
    </w:div>
    <w:div w:id="952398746">
      <w:bodyDiv w:val="1"/>
      <w:marLeft w:val="0"/>
      <w:marRight w:val="0"/>
      <w:marTop w:val="0"/>
      <w:marBottom w:val="0"/>
      <w:divBdr>
        <w:top w:val="none" w:sz="0" w:space="0" w:color="auto"/>
        <w:left w:val="none" w:sz="0" w:space="0" w:color="auto"/>
        <w:bottom w:val="none" w:sz="0" w:space="0" w:color="auto"/>
        <w:right w:val="none" w:sz="0" w:space="0" w:color="auto"/>
      </w:divBdr>
    </w:div>
    <w:div w:id="988292773">
      <w:bodyDiv w:val="1"/>
      <w:marLeft w:val="0"/>
      <w:marRight w:val="0"/>
      <w:marTop w:val="0"/>
      <w:marBottom w:val="0"/>
      <w:divBdr>
        <w:top w:val="none" w:sz="0" w:space="0" w:color="auto"/>
        <w:left w:val="none" w:sz="0" w:space="0" w:color="auto"/>
        <w:bottom w:val="none" w:sz="0" w:space="0" w:color="auto"/>
        <w:right w:val="none" w:sz="0" w:space="0" w:color="auto"/>
      </w:divBdr>
    </w:div>
    <w:div w:id="1003314057">
      <w:bodyDiv w:val="1"/>
      <w:marLeft w:val="0"/>
      <w:marRight w:val="0"/>
      <w:marTop w:val="0"/>
      <w:marBottom w:val="0"/>
      <w:divBdr>
        <w:top w:val="none" w:sz="0" w:space="0" w:color="auto"/>
        <w:left w:val="none" w:sz="0" w:space="0" w:color="auto"/>
        <w:bottom w:val="none" w:sz="0" w:space="0" w:color="auto"/>
        <w:right w:val="none" w:sz="0" w:space="0" w:color="auto"/>
      </w:divBdr>
    </w:div>
    <w:div w:id="1004092342">
      <w:bodyDiv w:val="1"/>
      <w:marLeft w:val="0"/>
      <w:marRight w:val="0"/>
      <w:marTop w:val="0"/>
      <w:marBottom w:val="0"/>
      <w:divBdr>
        <w:top w:val="none" w:sz="0" w:space="0" w:color="auto"/>
        <w:left w:val="none" w:sz="0" w:space="0" w:color="auto"/>
        <w:bottom w:val="none" w:sz="0" w:space="0" w:color="auto"/>
        <w:right w:val="none" w:sz="0" w:space="0" w:color="auto"/>
      </w:divBdr>
    </w:div>
    <w:div w:id="1005012443">
      <w:bodyDiv w:val="1"/>
      <w:marLeft w:val="0"/>
      <w:marRight w:val="0"/>
      <w:marTop w:val="0"/>
      <w:marBottom w:val="0"/>
      <w:divBdr>
        <w:top w:val="none" w:sz="0" w:space="0" w:color="auto"/>
        <w:left w:val="none" w:sz="0" w:space="0" w:color="auto"/>
        <w:bottom w:val="none" w:sz="0" w:space="0" w:color="auto"/>
        <w:right w:val="none" w:sz="0" w:space="0" w:color="auto"/>
      </w:divBdr>
    </w:div>
    <w:div w:id="1012606212">
      <w:bodyDiv w:val="1"/>
      <w:marLeft w:val="0"/>
      <w:marRight w:val="0"/>
      <w:marTop w:val="0"/>
      <w:marBottom w:val="0"/>
      <w:divBdr>
        <w:top w:val="none" w:sz="0" w:space="0" w:color="auto"/>
        <w:left w:val="none" w:sz="0" w:space="0" w:color="auto"/>
        <w:bottom w:val="none" w:sz="0" w:space="0" w:color="auto"/>
        <w:right w:val="none" w:sz="0" w:space="0" w:color="auto"/>
      </w:divBdr>
    </w:div>
    <w:div w:id="1036079377">
      <w:bodyDiv w:val="1"/>
      <w:marLeft w:val="0"/>
      <w:marRight w:val="0"/>
      <w:marTop w:val="0"/>
      <w:marBottom w:val="0"/>
      <w:divBdr>
        <w:top w:val="none" w:sz="0" w:space="0" w:color="auto"/>
        <w:left w:val="none" w:sz="0" w:space="0" w:color="auto"/>
        <w:bottom w:val="none" w:sz="0" w:space="0" w:color="auto"/>
        <w:right w:val="none" w:sz="0" w:space="0" w:color="auto"/>
      </w:divBdr>
    </w:div>
    <w:div w:id="1042438543">
      <w:bodyDiv w:val="1"/>
      <w:marLeft w:val="0"/>
      <w:marRight w:val="0"/>
      <w:marTop w:val="0"/>
      <w:marBottom w:val="0"/>
      <w:divBdr>
        <w:top w:val="none" w:sz="0" w:space="0" w:color="auto"/>
        <w:left w:val="none" w:sz="0" w:space="0" w:color="auto"/>
        <w:bottom w:val="none" w:sz="0" w:space="0" w:color="auto"/>
        <w:right w:val="none" w:sz="0" w:space="0" w:color="auto"/>
      </w:divBdr>
    </w:div>
    <w:div w:id="1064599404">
      <w:bodyDiv w:val="1"/>
      <w:marLeft w:val="0"/>
      <w:marRight w:val="0"/>
      <w:marTop w:val="0"/>
      <w:marBottom w:val="0"/>
      <w:divBdr>
        <w:top w:val="none" w:sz="0" w:space="0" w:color="auto"/>
        <w:left w:val="none" w:sz="0" w:space="0" w:color="auto"/>
        <w:bottom w:val="none" w:sz="0" w:space="0" w:color="auto"/>
        <w:right w:val="none" w:sz="0" w:space="0" w:color="auto"/>
      </w:divBdr>
    </w:div>
    <w:div w:id="1079985499">
      <w:bodyDiv w:val="1"/>
      <w:marLeft w:val="0"/>
      <w:marRight w:val="0"/>
      <w:marTop w:val="0"/>
      <w:marBottom w:val="0"/>
      <w:divBdr>
        <w:top w:val="none" w:sz="0" w:space="0" w:color="auto"/>
        <w:left w:val="none" w:sz="0" w:space="0" w:color="auto"/>
        <w:bottom w:val="none" w:sz="0" w:space="0" w:color="auto"/>
        <w:right w:val="none" w:sz="0" w:space="0" w:color="auto"/>
      </w:divBdr>
    </w:div>
    <w:div w:id="1099563040">
      <w:bodyDiv w:val="1"/>
      <w:marLeft w:val="0"/>
      <w:marRight w:val="0"/>
      <w:marTop w:val="0"/>
      <w:marBottom w:val="0"/>
      <w:divBdr>
        <w:top w:val="none" w:sz="0" w:space="0" w:color="auto"/>
        <w:left w:val="none" w:sz="0" w:space="0" w:color="auto"/>
        <w:bottom w:val="none" w:sz="0" w:space="0" w:color="auto"/>
        <w:right w:val="none" w:sz="0" w:space="0" w:color="auto"/>
      </w:divBdr>
    </w:div>
    <w:div w:id="1120296779">
      <w:bodyDiv w:val="1"/>
      <w:marLeft w:val="0"/>
      <w:marRight w:val="0"/>
      <w:marTop w:val="0"/>
      <w:marBottom w:val="0"/>
      <w:divBdr>
        <w:top w:val="none" w:sz="0" w:space="0" w:color="auto"/>
        <w:left w:val="none" w:sz="0" w:space="0" w:color="auto"/>
        <w:bottom w:val="none" w:sz="0" w:space="0" w:color="auto"/>
        <w:right w:val="none" w:sz="0" w:space="0" w:color="auto"/>
      </w:divBdr>
    </w:div>
    <w:div w:id="1148942350">
      <w:bodyDiv w:val="1"/>
      <w:marLeft w:val="0"/>
      <w:marRight w:val="0"/>
      <w:marTop w:val="0"/>
      <w:marBottom w:val="0"/>
      <w:divBdr>
        <w:top w:val="none" w:sz="0" w:space="0" w:color="auto"/>
        <w:left w:val="none" w:sz="0" w:space="0" w:color="auto"/>
        <w:bottom w:val="none" w:sz="0" w:space="0" w:color="auto"/>
        <w:right w:val="none" w:sz="0" w:space="0" w:color="auto"/>
      </w:divBdr>
    </w:div>
    <w:div w:id="1166748619">
      <w:bodyDiv w:val="1"/>
      <w:marLeft w:val="0"/>
      <w:marRight w:val="0"/>
      <w:marTop w:val="0"/>
      <w:marBottom w:val="0"/>
      <w:divBdr>
        <w:top w:val="none" w:sz="0" w:space="0" w:color="auto"/>
        <w:left w:val="none" w:sz="0" w:space="0" w:color="auto"/>
        <w:bottom w:val="none" w:sz="0" w:space="0" w:color="auto"/>
        <w:right w:val="none" w:sz="0" w:space="0" w:color="auto"/>
      </w:divBdr>
    </w:div>
    <w:div w:id="1184826200">
      <w:bodyDiv w:val="1"/>
      <w:marLeft w:val="0"/>
      <w:marRight w:val="0"/>
      <w:marTop w:val="0"/>
      <w:marBottom w:val="0"/>
      <w:divBdr>
        <w:top w:val="none" w:sz="0" w:space="0" w:color="auto"/>
        <w:left w:val="none" w:sz="0" w:space="0" w:color="auto"/>
        <w:bottom w:val="none" w:sz="0" w:space="0" w:color="auto"/>
        <w:right w:val="none" w:sz="0" w:space="0" w:color="auto"/>
      </w:divBdr>
    </w:div>
    <w:div w:id="1194614737">
      <w:bodyDiv w:val="1"/>
      <w:marLeft w:val="0"/>
      <w:marRight w:val="0"/>
      <w:marTop w:val="0"/>
      <w:marBottom w:val="0"/>
      <w:divBdr>
        <w:top w:val="none" w:sz="0" w:space="0" w:color="auto"/>
        <w:left w:val="none" w:sz="0" w:space="0" w:color="auto"/>
        <w:bottom w:val="none" w:sz="0" w:space="0" w:color="auto"/>
        <w:right w:val="none" w:sz="0" w:space="0" w:color="auto"/>
      </w:divBdr>
    </w:div>
    <w:div w:id="1200701396">
      <w:bodyDiv w:val="1"/>
      <w:marLeft w:val="0"/>
      <w:marRight w:val="0"/>
      <w:marTop w:val="0"/>
      <w:marBottom w:val="0"/>
      <w:divBdr>
        <w:top w:val="none" w:sz="0" w:space="0" w:color="auto"/>
        <w:left w:val="none" w:sz="0" w:space="0" w:color="auto"/>
        <w:bottom w:val="none" w:sz="0" w:space="0" w:color="auto"/>
        <w:right w:val="none" w:sz="0" w:space="0" w:color="auto"/>
      </w:divBdr>
    </w:div>
    <w:div w:id="1227766339">
      <w:bodyDiv w:val="1"/>
      <w:marLeft w:val="0"/>
      <w:marRight w:val="0"/>
      <w:marTop w:val="0"/>
      <w:marBottom w:val="0"/>
      <w:divBdr>
        <w:top w:val="none" w:sz="0" w:space="0" w:color="auto"/>
        <w:left w:val="none" w:sz="0" w:space="0" w:color="auto"/>
        <w:bottom w:val="none" w:sz="0" w:space="0" w:color="auto"/>
        <w:right w:val="none" w:sz="0" w:space="0" w:color="auto"/>
      </w:divBdr>
    </w:div>
    <w:div w:id="1229456612">
      <w:bodyDiv w:val="1"/>
      <w:marLeft w:val="0"/>
      <w:marRight w:val="0"/>
      <w:marTop w:val="0"/>
      <w:marBottom w:val="0"/>
      <w:divBdr>
        <w:top w:val="none" w:sz="0" w:space="0" w:color="auto"/>
        <w:left w:val="none" w:sz="0" w:space="0" w:color="auto"/>
        <w:bottom w:val="none" w:sz="0" w:space="0" w:color="auto"/>
        <w:right w:val="none" w:sz="0" w:space="0" w:color="auto"/>
      </w:divBdr>
    </w:div>
    <w:div w:id="1289122694">
      <w:bodyDiv w:val="1"/>
      <w:marLeft w:val="0"/>
      <w:marRight w:val="0"/>
      <w:marTop w:val="0"/>
      <w:marBottom w:val="0"/>
      <w:divBdr>
        <w:top w:val="none" w:sz="0" w:space="0" w:color="auto"/>
        <w:left w:val="none" w:sz="0" w:space="0" w:color="auto"/>
        <w:bottom w:val="none" w:sz="0" w:space="0" w:color="auto"/>
        <w:right w:val="none" w:sz="0" w:space="0" w:color="auto"/>
      </w:divBdr>
    </w:div>
    <w:div w:id="1339189472">
      <w:bodyDiv w:val="1"/>
      <w:marLeft w:val="0"/>
      <w:marRight w:val="0"/>
      <w:marTop w:val="0"/>
      <w:marBottom w:val="0"/>
      <w:divBdr>
        <w:top w:val="none" w:sz="0" w:space="0" w:color="auto"/>
        <w:left w:val="none" w:sz="0" w:space="0" w:color="auto"/>
        <w:bottom w:val="none" w:sz="0" w:space="0" w:color="auto"/>
        <w:right w:val="none" w:sz="0" w:space="0" w:color="auto"/>
      </w:divBdr>
    </w:div>
    <w:div w:id="1348100578">
      <w:bodyDiv w:val="1"/>
      <w:marLeft w:val="0"/>
      <w:marRight w:val="0"/>
      <w:marTop w:val="0"/>
      <w:marBottom w:val="0"/>
      <w:divBdr>
        <w:top w:val="none" w:sz="0" w:space="0" w:color="auto"/>
        <w:left w:val="none" w:sz="0" w:space="0" w:color="auto"/>
        <w:bottom w:val="none" w:sz="0" w:space="0" w:color="auto"/>
        <w:right w:val="none" w:sz="0" w:space="0" w:color="auto"/>
      </w:divBdr>
    </w:div>
    <w:div w:id="1348486911">
      <w:bodyDiv w:val="1"/>
      <w:marLeft w:val="0"/>
      <w:marRight w:val="0"/>
      <w:marTop w:val="0"/>
      <w:marBottom w:val="0"/>
      <w:divBdr>
        <w:top w:val="none" w:sz="0" w:space="0" w:color="auto"/>
        <w:left w:val="none" w:sz="0" w:space="0" w:color="auto"/>
        <w:bottom w:val="none" w:sz="0" w:space="0" w:color="auto"/>
        <w:right w:val="none" w:sz="0" w:space="0" w:color="auto"/>
      </w:divBdr>
    </w:div>
    <w:div w:id="1391684666">
      <w:bodyDiv w:val="1"/>
      <w:marLeft w:val="0"/>
      <w:marRight w:val="0"/>
      <w:marTop w:val="0"/>
      <w:marBottom w:val="0"/>
      <w:divBdr>
        <w:top w:val="none" w:sz="0" w:space="0" w:color="auto"/>
        <w:left w:val="none" w:sz="0" w:space="0" w:color="auto"/>
        <w:bottom w:val="none" w:sz="0" w:space="0" w:color="auto"/>
        <w:right w:val="none" w:sz="0" w:space="0" w:color="auto"/>
      </w:divBdr>
    </w:div>
    <w:div w:id="1405689870">
      <w:bodyDiv w:val="1"/>
      <w:marLeft w:val="0"/>
      <w:marRight w:val="0"/>
      <w:marTop w:val="0"/>
      <w:marBottom w:val="0"/>
      <w:divBdr>
        <w:top w:val="none" w:sz="0" w:space="0" w:color="auto"/>
        <w:left w:val="none" w:sz="0" w:space="0" w:color="auto"/>
        <w:bottom w:val="none" w:sz="0" w:space="0" w:color="auto"/>
        <w:right w:val="none" w:sz="0" w:space="0" w:color="auto"/>
      </w:divBdr>
    </w:div>
    <w:div w:id="1484423160">
      <w:bodyDiv w:val="1"/>
      <w:marLeft w:val="0"/>
      <w:marRight w:val="0"/>
      <w:marTop w:val="0"/>
      <w:marBottom w:val="0"/>
      <w:divBdr>
        <w:top w:val="none" w:sz="0" w:space="0" w:color="auto"/>
        <w:left w:val="none" w:sz="0" w:space="0" w:color="auto"/>
        <w:bottom w:val="none" w:sz="0" w:space="0" w:color="auto"/>
        <w:right w:val="none" w:sz="0" w:space="0" w:color="auto"/>
      </w:divBdr>
    </w:div>
    <w:div w:id="1490826693">
      <w:bodyDiv w:val="1"/>
      <w:marLeft w:val="0"/>
      <w:marRight w:val="0"/>
      <w:marTop w:val="0"/>
      <w:marBottom w:val="0"/>
      <w:divBdr>
        <w:top w:val="none" w:sz="0" w:space="0" w:color="auto"/>
        <w:left w:val="none" w:sz="0" w:space="0" w:color="auto"/>
        <w:bottom w:val="none" w:sz="0" w:space="0" w:color="auto"/>
        <w:right w:val="none" w:sz="0" w:space="0" w:color="auto"/>
      </w:divBdr>
    </w:div>
    <w:div w:id="1514957890">
      <w:bodyDiv w:val="1"/>
      <w:marLeft w:val="0"/>
      <w:marRight w:val="0"/>
      <w:marTop w:val="0"/>
      <w:marBottom w:val="0"/>
      <w:divBdr>
        <w:top w:val="none" w:sz="0" w:space="0" w:color="auto"/>
        <w:left w:val="none" w:sz="0" w:space="0" w:color="auto"/>
        <w:bottom w:val="none" w:sz="0" w:space="0" w:color="auto"/>
        <w:right w:val="none" w:sz="0" w:space="0" w:color="auto"/>
      </w:divBdr>
    </w:div>
    <w:div w:id="1523132282">
      <w:bodyDiv w:val="1"/>
      <w:marLeft w:val="0"/>
      <w:marRight w:val="0"/>
      <w:marTop w:val="0"/>
      <w:marBottom w:val="0"/>
      <w:divBdr>
        <w:top w:val="none" w:sz="0" w:space="0" w:color="auto"/>
        <w:left w:val="none" w:sz="0" w:space="0" w:color="auto"/>
        <w:bottom w:val="none" w:sz="0" w:space="0" w:color="auto"/>
        <w:right w:val="none" w:sz="0" w:space="0" w:color="auto"/>
      </w:divBdr>
    </w:div>
    <w:div w:id="1590263208">
      <w:bodyDiv w:val="1"/>
      <w:marLeft w:val="0"/>
      <w:marRight w:val="0"/>
      <w:marTop w:val="0"/>
      <w:marBottom w:val="0"/>
      <w:divBdr>
        <w:top w:val="none" w:sz="0" w:space="0" w:color="auto"/>
        <w:left w:val="none" w:sz="0" w:space="0" w:color="auto"/>
        <w:bottom w:val="none" w:sz="0" w:space="0" w:color="auto"/>
        <w:right w:val="none" w:sz="0" w:space="0" w:color="auto"/>
      </w:divBdr>
    </w:div>
    <w:div w:id="1596598868">
      <w:bodyDiv w:val="1"/>
      <w:marLeft w:val="0"/>
      <w:marRight w:val="0"/>
      <w:marTop w:val="0"/>
      <w:marBottom w:val="0"/>
      <w:divBdr>
        <w:top w:val="none" w:sz="0" w:space="0" w:color="auto"/>
        <w:left w:val="none" w:sz="0" w:space="0" w:color="auto"/>
        <w:bottom w:val="none" w:sz="0" w:space="0" w:color="auto"/>
        <w:right w:val="none" w:sz="0" w:space="0" w:color="auto"/>
      </w:divBdr>
    </w:div>
    <w:div w:id="1601598925">
      <w:bodyDiv w:val="1"/>
      <w:marLeft w:val="0"/>
      <w:marRight w:val="0"/>
      <w:marTop w:val="0"/>
      <w:marBottom w:val="0"/>
      <w:divBdr>
        <w:top w:val="none" w:sz="0" w:space="0" w:color="auto"/>
        <w:left w:val="none" w:sz="0" w:space="0" w:color="auto"/>
        <w:bottom w:val="none" w:sz="0" w:space="0" w:color="auto"/>
        <w:right w:val="none" w:sz="0" w:space="0" w:color="auto"/>
      </w:divBdr>
    </w:div>
    <w:div w:id="1603411091">
      <w:bodyDiv w:val="1"/>
      <w:marLeft w:val="0"/>
      <w:marRight w:val="0"/>
      <w:marTop w:val="0"/>
      <w:marBottom w:val="0"/>
      <w:divBdr>
        <w:top w:val="none" w:sz="0" w:space="0" w:color="auto"/>
        <w:left w:val="none" w:sz="0" w:space="0" w:color="auto"/>
        <w:bottom w:val="none" w:sz="0" w:space="0" w:color="auto"/>
        <w:right w:val="none" w:sz="0" w:space="0" w:color="auto"/>
      </w:divBdr>
    </w:div>
    <w:div w:id="1617903835">
      <w:bodyDiv w:val="1"/>
      <w:marLeft w:val="0"/>
      <w:marRight w:val="0"/>
      <w:marTop w:val="0"/>
      <w:marBottom w:val="0"/>
      <w:divBdr>
        <w:top w:val="none" w:sz="0" w:space="0" w:color="auto"/>
        <w:left w:val="none" w:sz="0" w:space="0" w:color="auto"/>
        <w:bottom w:val="none" w:sz="0" w:space="0" w:color="auto"/>
        <w:right w:val="none" w:sz="0" w:space="0" w:color="auto"/>
      </w:divBdr>
    </w:div>
    <w:div w:id="1620456508">
      <w:bodyDiv w:val="1"/>
      <w:marLeft w:val="0"/>
      <w:marRight w:val="0"/>
      <w:marTop w:val="0"/>
      <w:marBottom w:val="0"/>
      <w:divBdr>
        <w:top w:val="none" w:sz="0" w:space="0" w:color="auto"/>
        <w:left w:val="none" w:sz="0" w:space="0" w:color="auto"/>
        <w:bottom w:val="none" w:sz="0" w:space="0" w:color="auto"/>
        <w:right w:val="none" w:sz="0" w:space="0" w:color="auto"/>
      </w:divBdr>
    </w:div>
    <w:div w:id="1626234881">
      <w:bodyDiv w:val="1"/>
      <w:marLeft w:val="0"/>
      <w:marRight w:val="0"/>
      <w:marTop w:val="0"/>
      <w:marBottom w:val="0"/>
      <w:divBdr>
        <w:top w:val="none" w:sz="0" w:space="0" w:color="auto"/>
        <w:left w:val="none" w:sz="0" w:space="0" w:color="auto"/>
        <w:bottom w:val="none" w:sz="0" w:space="0" w:color="auto"/>
        <w:right w:val="none" w:sz="0" w:space="0" w:color="auto"/>
      </w:divBdr>
    </w:div>
    <w:div w:id="1628780776">
      <w:bodyDiv w:val="1"/>
      <w:marLeft w:val="0"/>
      <w:marRight w:val="0"/>
      <w:marTop w:val="0"/>
      <w:marBottom w:val="0"/>
      <w:divBdr>
        <w:top w:val="none" w:sz="0" w:space="0" w:color="auto"/>
        <w:left w:val="none" w:sz="0" w:space="0" w:color="auto"/>
        <w:bottom w:val="none" w:sz="0" w:space="0" w:color="auto"/>
        <w:right w:val="none" w:sz="0" w:space="0" w:color="auto"/>
      </w:divBdr>
    </w:div>
    <w:div w:id="1641571441">
      <w:bodyDiv w:val="1"/>
      <w:marLeft w:val="0"/>
      <w:marRight w:val="0"/>
      <w:marTop w:val="0"/>
      <w:marBottom w:val="0"/>
      <w:divBdr>
        <w:top w:val="none" w:sz="0" w:space="0" w:color="auto"/>
        <w:left w:val="none" w:sz="0" w:space="0" w:color="auto"/>
        <w:bottom w:val="none" w:sz="0" w:space="0" w:color="auto"/>
        <w:right w:val="none" w:sz="0" w:space="0" w:color="auto"/>
      </w:divBdr>
    </w:div>
    <w:div w:id="1655445886">
      <w:bodyDiv w:val="1"/>
      <w:marLeft w:val="0"/>
      <w:marRight w:val="0"/>
      <w:marTop w:val="0"/>
      <w:marBottom w:val="0"/>
      <w:divBdr>
        <w:top w:val="none" w:sz="0" w:space="0" w:color="auto"/>
        <w:left w:val="none" w:sz="0" w:space="0" w:color="auto"/>
        <w:bottom w:val="none" w:sz="0" w:space="0" w:color="auto"/>
        <w:right w:val="none" w:sz="0" w:space="0" w:color="auto"/>
      </w:divBdr>
    </w:div>
    <w:div w:id="1685282261">
      <w:bodyDiv w:val="1"/>
      <w:marLeft w:val="0"/>
      <w:marRight w:val="0"/>
      <w:marTop w:val="0"/>
      <w:marBottom w:val="0"/>
      <w:divBdr>
        <w:top w:val="none" w:sz="0" w:space="0" w:color="auto"/>
        <w:left w:val="none" w:sz="0" w:space="0" w:color="auto"/>
        <w:bottom w:val="none" w:sz="0" w:space="0" w:color="auto"/>
        <w:right w:val="none" w:sz="0" w:space="0" w:color="auto"/>
      </w:divBdr>
    </w:div>
    <w:div w:id="1710570182">
      <w:bodyDiv w:val="1"/>
      <w:marLeft w:val="0"/>
      <w:marRight w:val="0"/>
      <w:marTop w:val="0"/>
      <w:marBottom w:val="0"/>
      <w:divBdr>
        <w:top w:val="none" w:sz="0" w:space="0" w:color="auto"/>
        <w:left w:val="none" w:sz="0" w:space="0" w:color="auto"/>
        <w:bottom w:val="none" w:sz="0" w:space="0" w:color="auto"/>
        <w:right w:val="none" w:sz="0" w:space="0" w:color="auto"/>
      </w:divBdr>
    </w:div>
    <w:div w:id="1711876888">
      <w:bodyDiv w:val="1"/>
      <w:marLeft w:val="0"/>
      <w:marRight w:val="0"/>
      <w:marTop w:val="0"/>
      <w:marBottom w:val="0"/>
      <w:divBdr>
        <w:top w:val="none" w:sz="0" w:space="0" w:color="auto"/>
        <w:left w:val="none" w:sz="0" w:space="0" w:color="auto"/>
        <w:bottom w:val="none" w:sz="0" w:space="0" w:color="auto"/>
        <w:right w:val="none" w:sz="0" w:space="0" w:color="auto"/>
      </w:divBdr>
    </w:div>
    <w:div w:id="1750688071">
      <w:bodyDiv w:val="1"/>
      <w:marLeft w:val="0"/>
      <w:marRight w:val="0"/>
      <w:marTop w:val="0"/>
      <w:marBottom w:val="0"/>
      <w:divBdr>
        <w:top w:val="none" w:sz="0" w:space="0" w:color="auto"/>
        <w:left w:val="none" w:sz="0" w:space="0" w:color="auto"/>
        <w:bottom w:val="none" w:sz="0" w:space="0" w:color="auto"/>
        <w:right w:val="none" w:sz="0" w:space="0" w:color="auto"/>
      </w:divBdr>
    </w:div>
    <w:div w:id="1758554337">
      <w:bodyDiv w:val="1"/>
      <w:marLeft w:val="0"/>
      <w:marRight w:val="0"/>
      <w:marTop w:val="0"/>
      <w:marBottom w:val="0"/>
      <w:divBdr>
        <w:top w:val="none" w:sz="0" w:space="0" w:color="auto"/>
        <w:left w:val="none" w:sz="0" w:space="0" w:color="auto"/>
        <w:bottom w:val="none" w:sz="0" w:space="0" w:color="auto"/>
        <w:right w:val="none" w:sz="0" w:space="0" w:color="auto"/>
      </w:divBdr>
    </w:div>
    <w:div w:id="1762480719">
      <w:bodyDiv w:val="1"/>
      <w:marLeft w:val="0"/>
      <w:marRight w:val="0"/>
      <w:marTop w:val="0"/>
      <w:marBottom w:val="0"/>
      <w:divBdr>
        <w:top w:val="none" w:sz="0" w:space="0" w:color="auto"/>
        <w:left w:val="none" w:sz="0" w:space="0" w:color="auto"/>
        <w:bottom w:val="none" w:sz="0" w:space="0" w:color="auto"/>
        <w:right w:val="none" w:sz="0" w:space="0" w:color="auto"/>
      </w:divBdr>
    </w:div>
    <w:div w:id="1766068325">
      <w:bodyDiv w:val="1"/>
      <w:marLeft w:val="0"/>
      <w:marRight w:val="0"/>
      <w:marTop w:val="0"/>
      <w:marBottom w:val="0"/>
      <w:divBdr>
        <w:top w:val="none" w:sz="0" w:space="0" w:color="auto"/>
        <w:left w:val="none" w:sz="0" w:space="0" w:color="auto"/>
        <w:bottom w:val="none" w:sz="0" w:space="0" w:color="auto"/>
        <w:right w:val="none" w:sz="0" w:space="0" w:color="auto"/>
      </w:divBdr>
    </w:div>
    <w:div w:id="1788154548">
      <w:bodyDiv w:val="1"/>
      <w:marLeft w:val="0"/>
      <w:marRight w:val="0"/>
      <w:marTop w:val="0"/>
      <w:marBottom w:val="0"/>
      <w:divBdr>
        <w:top w:val="none" w:sz="0" w:space="0" w:color="auto"/>
        <w:left w:val="none" w:sz="0" w:space="0" w:color="auto"/>
        <w:bottom w:val="none" w:sz="0" w:space="0" w:color="auto"/>
        <w:right w:val="none" w:sz="0" w:space="0" w:color="auto"/>
      </w:divBdr>
    </w:div>
    <w:div w:id="1805351038">
      <w:bodyDiv w:val="1"/>
      <w:marLeft w:val="0"/>
      <w:marRight w:val="0"/>
      <w:marTop w:val="0"/>
      <w:marBottom w:val="0"/>
      <w:divBdr>
        <w:top w:val="none" w:sz="0" w:space="0" w:color="auto"/>
        <w:left w:val="none" w:sz="0" w:space="0" w:color="auto"/>
        <w:bottom w:val="none" w:sz="0" w:space="0" w:color="auto"/>
        <w:right w:val="none" w:sz="0" w:space="0" w:color="auto"/>
      </w:divBdr>
    </w:div>
    <w:div w:id="1814056588">
      <w:bodyDiv w:val="1"/>
      <w:marLeft w:val="0"/>
      <w:marRight w:val="0"/>
      <w:marTop w:val="0"/>
      <w:marBottom w:val="0"/>
      <w:divBdr>
        <w:top w:val="none" w:sz="0" w:space="0" w:color="auto"/>
        <w:left w:val="none" w:sz="0" w:space="0" w:color="auto"/>
        <w:bottom w:val="none" w:sz="0" w:space="0" w:color="auto"/>
        <w:right w:val="none" w:sz="0" w:space="0" w:color="auto"/>
      </w:divBdr>
    </w:div>
    <w:div w:id="1822382492">
      <w:bodyDiv w:val="1"/>
      <w:marLeft w:val="0"/>
      <w:marRight w:val="0"/>
      <w:marTop w:val="0"/>
      <w:marBottom w:val="0"/>
      <w:divBdr>
        <w:top w:val="none" w:sz="0" w:space="0" w:color="auto"/>
        <w:left w:val="none" w:sz="0" w:space="0" w:color="auto"/>
        <w:bottom w:val="none" w:sz="0" w:space="0" w:color="auto"/>
        <w:right w:val="none" w:sz="0" w:space="0" w:color="auto"/>
      </w:divBdr>
    </w:div>
    <w:div w:id="1830515670">
      <w:bodyDiv w:val="1"/>
      <w:marLeft w:val="0"/>
      <w:marRight w:val="0"/>
      <w:marTop w:val="0"/>
      <w:marBottom w:val="0"/>
      <w:divBdr>
        <w:top w:val="none" w:sz="0" w:space="0" w:color="auto"/>
        <w:left w:val="none" w:sz="0" w:space="0" w:color="auto"/>
        <w:bottom w:val="none" w:sz="0" w:space="0" w:color="auto"/>
        <w:right w:val="none" w:sz="0" w:space="0" w:color="auto"/>
      </w:divBdr>
    </w:div>
    <w:div w:id="1871411140">
      <w:bodyDiv w:val="1"/>
      <w:marLeft w:val="0"/>
      <w:marRight w:val="0"/>
      <w:marTop w:val="0"/>
      <w:marBottom w:val="0"/>
      <w:divBdr>
        <w:top w:val="none" w:sz="0" w:space="0" w:color="auto"/>
        <w:left w:val="none" w:sz="0" w:space="0" w:color="auto"/>
        <w:bottom w:val="none" w:sz="0" w:space="0" w:color="auto"/>
        <w:right w:val="none" w:sz="0" w:space="0" w:color="auto"/>
      </w:divBdr>
    </w:div>
    <w:div w:id="1895695904">
      <w:bodyDiv w:val="1"/>
      <w:marLeft w:val="0"/>
      <w:marRight w:val="0"/>
      <w:marTop w:val="0"/>
      <w:marBottom w:val="0"/>
      <w:divBdr>
        <w:top w:val="none" w:sz="0" w:space="0" w:color="auto"/>
        <w:left w:val="none" w:sz="0" w:space="0" w:color="auto"/>
        <w:bottom w:val="none" w:sz="0" w:space="0" w:color="auto"/>
        <w:right w:val="none" w:sz="0" w:space="0" w:color="auto"/>
      </w:divBdr>
    </w:div>
    <w:div w:id="1940791929">
      <w:bodyDiv w:val="1"/>
      <w:marLeft w:val="0"/>
      <w:marRight w:val="0"/>
      <w:marTop w:val="0"/>
      <w:marBottom w:val="0"/>
      <w:divBdr>
        <w:top w:val="none" w:sz="0" w:space="0" w:color="auto"/>
        <w:left w:val="none" w:sz="0" w:space="0" w:color="auto"/>
        <w:bottom w:val="none" w:sz="0" w:space="0" w:color="auto"/>
        <w:right w:val="none" w:sz="0" w:space="0" w:color="auto"/>
      </w:divBdr>
    </w:div>
    <w:div w:id="2012903136">
      <w:bodyDiv w:val="1"/>
      <w:marLeft w:val="0"/>
      <w:marRight w:val="0"/>
      <w:marTop w:val="0"/>
      <w:marBottom w:val="0"/>
      <w:divBdr>
        <w:top w:val="none" w:sz="0" w:space="0" w:color="auto"/>
        <w:left w:val="none" w:sz="0" w:space="0" w:color="auto"/>
        <w:bottom w:val="none" w:sz="0" w:space="0" w:color="auto"/>
        <w:right w:val="none" w:sz="0" w:space="0" w:color="auto"/>
      </w:divBdr>
    </w:div>
    <w:div w:id="2039355256">
      <w:bodyDiv w:val="1"/>
      <w:marLeft w:val="0"/>
      <w:marRight w:val="0"/>
      <w:marTop w:val="0"/>
      <w:marBottom w:val="0"/>
      <w:divBdr>
        <w:top w:val="none" w:sz="0" w:space="0" w:color="auto"/>
        <w:left w:val="none" w:sz="0" w:space="0" w:color="auto"/>
        <w:bottom w:val="none" w:sz="0" w:space="0" w:color="auto"/>
        <w:right w:val="none" w:sz="0" w:space="0" w:color="auto"/>
      </w:divBdr>
    </w:div>
    <w:div w:id="2044743146">
      <w:bodyDiv w:val="1"/>
      <w:marLeft w:val="0"/>
      <w:marRight w:val="0"/>
      <w:marTop w:val="0"/>
      <w:marBottom w:val="0"/>
      <w:divBdr>
        <w:top w:val="none" w:sz="0" w:space="0" w:color="auto"/>
        <w:left w:val="none" w:sz="0" w:space="0" w:color="auto"/>
        <w:bottom w:val="none" w:sz="0" w:space="0" w:color="auto"/>
        <w:right w:val="none" w:sz="0" w:space="0" w:color="auto"/>
      </w:divBdr>
    </w:div>
    <w:div w:id="2049605324">
      <w:bodyDiv w:val="1"/>
      <w:marLeft w:val="0"/>
      <w:marRight w:val="0"/>
      <w:marTop w:val="0"/>
      <w:marBottom w:val="0"/>
      <w:divBdr>
        <w:top w:val="none" w:sz="0" w:space="0" w:color="auto"/>
        <w:left w:val="none" w:sz="0" w:space="0" w:color="auto"/>
        <w:bottom w:val="none" w:sz="0" w:space="0" w:color="auto"/>
        <w:right w:val="none" w:sz="0" w:space="0" w:color="auto"/>
      </w:divBdr>
    </w:div>
    <w:div w:id="2051104061">
      <w:bodyDiv w:val="1"/>
      <w:marLeft w:val="0"/>
      <w:marRight w:val="0"/>
      <w:marTop w:val="0"/>
      <w:marBottom w:val="0"/>
      <w:divBdr>
        <w:top w:val="none" w:sz="0" w:space="0" w:color="auto"/>
        <w:left w:val="none" w:sz="0" w:space="0" w:color="auto"/>
        <w:bottom w:val="none" w:sz="0" w:space="0" w:color="auto"/>
        <w:right w:val="none" w:sz="0" w:space="0" w:color="auto"/>
      </w:divBdr>
    </w:div>
    <w:div w:id="2086761735">
      <w:bodyDiv w:val="1"/>
      <w:marLeft w:val="0"/>
      <w:marRight w:val="0"/>
      <w:marTop w:val="0"/>
      <w:marBottom w:val="0"/>
      <w:divBdr>
        <w:top w:val="none" w:sz="0" w:space="0" w:color="auto"/>
        <w:left w:val="none" w:sz="0" w:space="0" w:color="auto"/>
        <w:bottom w:val="none" w:sz="0" w:space="0" w:color="auto"/>
        <w:right w:val="none" w:sz="0" w:space="0" w:color="auto"/>
      </w:divBdr>
    </w:div>
    <w:div w:id="2098359775">
      <w:bodyDiv w:val="1"/>
      <w:marLeft w:val="0"/>
      <w:marRight w:val="0"/>
      <w:marTop w:val="0"/>
      <w:marBottom w:val="0"/>
      <w:divBdr>
        <w:top w:val="none" w:sz="0" w:space="0" w:color="auto"/>
        <w:left w:val="none" w:sz="0" w:space="0" w:color="auto"/>
        <w:bottom w:val="none" w:sz="0" w:space="0" w:color="auto"/>
        <w:right w:val="none" w:sz="0" w:space="0" w:color="auto"/>
      </w:divBdr>
    </w:div>
    <w:div w:id="2100831138">
      <w:bodyDiv w:val="1"/>
      <w:marLeft w:val="0"/>
      <w:marRight w:val="0"/>
      <w:marTop w:val="0"/>
      <w:marBottom w:val="0"/>
      <w:divBdr>
        <w:top w:val="none" w:sz="0" w:space="0" w:color="auto"/>
        <w:left w:val="none" w:sz="0" w:space="0" w:color="auto"/>
        <w:bottom w:val="none" w:sz="0" w:space="0" w:color="auto"/>
        <w:right w:val="none" w:sz="0" w:space="0" w:color="auto"/>
      </w:divBdr>
    </w:div>
    <w:div w:id="2118600504">
      <w:bodyDiv w:val="1"/>
      <w:marLeft w:val="0"/>
      <w:marRight w:val="0"/>
      <w:marTop w:val="0"/>
      <w:marBottom w:val="0"/>
      <w:divBdr>
        <w:top w:val="none" w:sz="0" w:space="0" w:color="auto"/>
        <w:left w:val="none" w:sz="0" w:space="0" w:color="auto"/>
        <w:bottom w:val="none" w:sz="0" w:space="0" w:color="auto"/>
        <w:right w:val="none" w:sz="0" w:space="0" w:color="auto"/>
      </w:divBdr>
    </w:div>
    <w:div w:id="21199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4052</Words>
  <Characters>22288</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OOMAPAS CABORCA</Company>
  <LinksUpToDate>false</LinksUpToDate>
  <CharactersWithSpaces>26288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dc:creator>
  <cp:keywords/>
  <dc:description/>
  <cp:lastModifiedBy>CONTABILIDAD</cp:lastModifiedBy>
  <cp:revision>2</cp:revision>
  <cp:lastPrinted>2017-08-14T20:12:00Z</cp:lastPrinted>
  <dcterms:created xsi:type="dcterms:W3CDTF">2017-08-14T20:17:00Z</dcterms:created>
  <dcterms:modified xsi:type="dcterms:W3CDTF">2017-08-14T20:17:00Z</dcterms:modified>
</cp:coreProperties>
</file>